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0DC" w:rsidRDefault="00E560DC" w:rsidP="00E560DC">
      <w:pPr>
        <w:jc w:val="center"/>
        <w:rPr>
          <w:rFonts w:ascii="Arial" w:hAnsi="Arial" w:cs="Arial"/>
          <w:sz w:val="36"/>
          <w:szCs w:val="36"/>
        </w:rPr>
      </w:pPr>
      <w:r>
        <w:rPr>
          <w:rFonts w:ascii="Arial" w:hAnsi="Arial" w:cs="Arial"/>
          <w:sz w:val="36"/>
          <w:szCs w:val="36"/>
        </w:rPr>
        <w:t>JOHN BOYLE SOLICITORS LIMITED</w:t>
      </w:r>
    </w:p>
    <w:p w:rsidR="00E560DC" w:rsidRDefault="00E560DC" w:rsidP="00E560DC">
      <w:pPr>
        <w:jc w:val="center"/>
        <w:rPr>
          <w:rFonts w:ascii="Arial" w:hAnsi="Arial" w:cs="Arial"/>
          <w:sz w:val="36"/>
          <w:szCs w:val="36"/>
        </w:rPr>
      </w:pPr>
    </w:p>
    <w:p w:rsidR="00E560DC" w:rsidRDefault="00E560DC" w:rsidP="00E560DC">
      <w:pPr>
        <w:jc w:val="center"/>
        <w:rPr>
          <w:rFonts w:ascii="Arial" w:hAnsi="Arial" w:cs="Arial"/>
          <w:sz w:val="36"/>
          <w:szCs w:val="36"/>
        </w:rPr>
      </w:pPr>
    </w:p>
    <w:p w:rsidR="00E560DC" w:rsidRDefault="00E560DC" w:rsidP="00E560DC">
      <w:pPr>
        <w:jc w:val="center"/>
        <w:rPr>
          <w:rFonts w:ascii="Arial" w:hAnsi="Arial" w:cs="Arial"/>
          <w:sz w:val="36"/>
          <w:szCs w:val="36"/>
        </w:rPr>
      </w:pPr>
    </w:p>
    <w:p w:rsidR="00E560DC" w:rsidRDefault="00E560DC" w:rsidP="00E560DC">
      <w:pPr>
        <w:jc w:val="center"/>
        <w:rPr>
          <w:rFonts w:ascii="Arial" w:hAnsi="Arial" w:cs="Arial"/>
          <w:sz w:val="36"/>
          <w:szCs w:val="36"/>
        </w:rPr>
      </w:pPr>
    </w:p>
    <w:p w:rsidR="00E560DC" w:rsidRDefault="00E560DC" w:rsidP="00E560DC">
      <w:pPr>
        <w:jc w:val="center"/>
        <w:rPr>
          <w:rFonts w:ascii="Arial" w:hAnsi="Arial" w:cs="Arial"/>
          <w:sz w:val="36"/>
          <w:szCs w:val="36"/>
        </w:rPr>
      </w:pPr>
    </w:p>
    <w:p w:rsidR="00E560DC" w:rsidRDefault="00E560DC" w:rsidP="00E560DC">
      <w:pPr>
        <w:jc w:val="center"/>
        <w:rPr>
          <w:rFonts w:ascii="Arial" w:hAnsi="Arial" w:cs="Arial"/>
          <w:sz w:val="36"/>
          <w:szCs w:val="36"/>
        </w:rPr>
      </w:pPr>
    </w:p>
    <w:p w:rsidR="00E560DC" w:rsidRDefault="00E560DC" w:rsidP="00E560DC">
      <w:pPr>
        <w:jc w:val="center"/>
        <w:rPr>
          <w:rFonts w:ascii="Arial" w:hAnsi="Arial" w:cs="Arial"/>
          <w:sz w:val="36"/>
          <w:szCs w:val="36"/>
        </w:rPr>
      </w:pPr>
    </w:p>
    <w:p w:rsidR="00E560DC" w:rsidRDefault="00E560DC" w:rsidP="00E560DC">
      <w:pPr>
        <w:jc w:val="center"/>
        <w:rPr>
          <w:rFonts w:ascii="Arial" w:hAnsi="Arial" w:cs="Arial"/>
          <w:sz w:val="36"/>
          <w:szCs w:val="36"/>
        </w:rPr>
      </w:pPr>
      <w:r>
        <w:rPr>
          <w:rFonts w:ascii="Arial" w:hAnsi="Arial" w:cs="Arial"/>
          <w:sz w:val="36"/>
          <w:szCs w:val="36"/>
        </w:rPr>
        <w:t xml:space="preserve">GUIDE TO </w:t>
      </w:r>
    </w:p>
    <w:p w:rsidR="00E560DC" w:rsidRDefault="00E560DC" w:rsidP="00E560DC">
      <w:pPr>
        <w:jc w:val="center"/>
        <w:rPr>
          <w:rFonts w:ascii="Arial" w:hAnsi="Arial" w:cs="Arial"/>
          <w:sz w:val="36"/>
          <w:szCs w:val="36"/>
        </w:rPr>
      </w:pPr>
      <w:r>
        <w:rPr>
          <w:rFonts w:ascii="Arial" w:hAnsi="Arial" w:cs="Arial"/>
          <w:sz w:val="36"/>
          <w:szCs w:val="36"/>
        </w:rPr>
        <w:t>DOMESTIC ABUSE &amp;</w:t>
      </w:r>
    </w:p>
    <w:p w:rsidR="00E560DC" w:rsidRDefault="00E560DC" w:rsidP="00E560DC">
      <w:pPr>
        <w:jc w:val="center"/>
        <w:rPr>
          <w:rFonts w:ascii="Arial" w:hAnsi="Arial" w:cs="Arial"/>
          <w:sz w:val="36"/>
          <w:szCs w:val="36"/>
        </w:rPr>
      </w:pPr>
      <w:r>
        <w:rPr>
          <w:rFonts w:ascii="Arial" w:hAnsi="Arial" w:cs="Arial"/>
          <w:sz w:val="36"/>
          <w:szCs w:val="36"/>
        </w:rPr>
        <w:t xml:space="preserve">PROTECTION ORDERS </w:t>
      </w:r>
    </w:p>
    <w:p w:rsidR="00E560DC" w:rsidRDefault="00E560DC" w:rsidP="00E560DC">
      <w:pPr>
        <w:jc w:val="center"/>
        <w:rPr>
          <w:rFonts w:ascii="Arial" w:hAnsi="Arial" w:cs="Arial"/>
          <w:sz w:val="36"/>
          <w:szCs w:val="36"/>
        </w:rPr>
      </w:pPr>
    </w:p>
    <w:p w:rsidR="00E560DC" w:rsidRDefault="00E560DC" w:rsidP="00E560DC">
      <w:pPr>
        <w:jc w:val="center"/>
        <w:rPr>
          <w:rFonts w:ascii="Arial" w:hAnsi="Arial" w:cs="Arial"/>
          <w:sz w:val="36"/>
          <w:szCs w:val="36"/>
        </w:rPr>
      </w:pPr>
    </w:p>
    <w:p w:rsidR="00E560DC" w:rsidRDefault="00E560DC" w:rsidP="00E560DC">
      <w:pPr>
        <w:jc w:val="center"/>
        <w:rPr>
          <w:rFonts w:ascii="Arial" w:hAnsi="Arial" w:cs="Arial"/>
          <w:sz w:val="36"/>
          <w:szCs w:val="36"/>
        </w:rPr>
      </w:pPr>
    </w:p>
    <w:p w:rsidR="00E560DC" w:rsidRDefault="00E560DC" w:rsidP="00E560DC">
      <w:pPr>
        <w:jc w:val="center"/>
        <w:rPr>
          <w:rFonts w:ascii="Arial" w:hAnsi="Arial" w:cs="Arial"/>
          <w:sz w:val="36"/>
          <w:szCs w:val="36"/>
        </w:rPr>
      </w:pPr>
    </w:p>
    <w:p w:rsidR="00E560DC" w:rsidRDefault="00E560DC" w:rsidP="00E560DC">
      <w:pPr>
        <w:jc w:val="center"/>
        <w:rPr>
          <w:rFonts w:ascii="Arial" w:hAnsi="Arial" w:cs="Arial"/>
          <w:sz w:val="36"/>
          <w:szCs w:val="36"/>
        </w:rPr>
      </w:pPr>
    </w:p>
    <w:p w:rsidR="00E560DC" w:rsidRDefault="00E560DC" w:rsidP="00E560DC">
      <w:pPr>
        <w:jc w:val="center"/>
        <w:rPr>
          <w:rFonts w:ascii="Arial" w:hAnsi="Arial" w:cs="Arial"/>
          <w:sz w:val="36"/>
          <w:szCs w:val="36"/>
        </w:rPr>
      </w:pPr>
    </w:p>
    <w:p w:rsidR="00E560DC" w:rsidRDefault="00E560DC" w:rsidP="00E560DC">
      <w:pPr>
        <w:jc w:val="center"/>
        <w:rPr>
          <w:rFonts w:ascii="Arial" w:hAnsi="Arial" w:cs="Arial"/>
          <w:sz w:val="36"/>
          <w:szCs w:val="36"/>
        </w:rPr>
      </w:pPr>
    </w:p>
    <w:p w:rsidR="00E560DC" w:rsidRDefault="00E560DC" w:rsidP="00E560DC">
      <w:pPr>
        <w:jc w:val="center"/>
        <w:rPr>
          <w:rFonts w:ascii="Arial" w:hAnsi="Arial" w:cs="Arial"/>
          <w:sz w:val="36"/>
          <w:szCs w:val="36"/>
        </w:rPr>
      </w:pPr>
    </w:p>
    <w:p w:rsidR="00E560DC" w:rsidRDefault="00E560DC" w:rsidP="00E560DC">
      <w:pPr>
        <w:jc w:val="center"/>
        <w:rPr>
          <w:rFonts w:ascii="Arial" w:hAnsi="Arial" w:cs="Arial"/>
          <w:sz w:val="36"/>
          <w:szCs w:val="36"/>
        </w:rPr>
      </w:pPr>
    </w:p>
    <w:p w:rsidR="00E560DC" w:rsidRDefault="00E560DC" w:rsidP="00E560DC">
      <w:pPr>
        <w:jc w:val="center"/>
        <w:rPr>
          <w:rFonts w:ascii="Arial" w:hAnsi="Arial" w:cs="Arial"/>
          <w:sz w:val="36"/>
          <w:szCs w:val="36"/>
        </w:rPr>
      </w:pPr>
    </w:p>
    <w:p w:rsidR="00E560DC" w:rsidRDefault="00E560DC" w:rsidP="00E560DC">
      <w:pPr>
        <w:jc w:val="center"/>
        <w:rPr>
          <w:rFonts w:ascii="Arial" w:hAnsi="Arial" w:cs="Arial"/>
          <w:sz w:val="36"/>
          <w:szCs w:val="36"/>
        </w:rPr>
      </w:pPr>
    </w:p>
    <w:p w:rsidR="00E560DC" w:rsidRDefault="00E560DC" w:rsidP="00E560DC">
      <w:pPr>
        <w:jc w:val="center"/>
        <w:rPr>
          <w:rFonts w:ascii="Arial" w:hAnsi="Arial" w:cs="Arial"/>
          <w:sz w:val="36"/>
          <w:szCs w:val="36"/>
        </w:rPr>
      </w:pPr>
    </w:p>
    <w:p w:rsidR="00E560DC" w:rsidRDefault="00E560DC" w:rsidP="00E560DC">
      <w:pPr>
        <w:rPr>
          <w:rFonts w:ascii="Arial" w:hAnsi="Arial" w:cs="Arial"/>
          <w:sz w:val="24"/>
          <w:szCs w:val="24"/>
          <w:u w:val="single"/>
        </w:rPr>
      </w:pPr>
      <w:r>
        <w:rPr>
          <w:rFonts w:ascii="Arial" w:hAnsi="Arial" w:cs="Arial"/>
          <w:sz w:val="24"/>
          <w:szCs w:val="24"/>
          <w:u w:val="single"/>
        </w:rPr>
        <w:lastRenderedPageBreak/>
        <w:t>Definition</w:t>
      </w:r>
    </w:p>
    <w:p w:rsidR="00E560DC" w:rsidRDefault="00E560DC" w:rsidP="00E560DC">
      <w:pPr>
        <w:rPr>
          <w:rFonts w:ascii="Arial" w:hAnsi="Arial" w:cs="Arial"/>
          <w:sz w:val="24"/>
          <w:szCs w:val="24"/>
        </w:rPr>
      </w:pPr>
      <w:r>
        <w:rPr>
          <w:rFonts w:ascii="Arial" w:hAnsi="Arial" w:cs="Arial"/>
          <w:sz w:val="24"/>
          <w:szCs w:val="24"/>
        </w:rPr>
        <w:t xml:space="preserve">Domestic Abuse can include but is not limited to: - </w:t>
      </w:r>
    </w:p>
    <w:p w:rsidR="00E560DC" w:rsidRDefault="00E560DC" w:rsidP="00E560DC">
      <w:pPr>
        <w:pStyle w:val="ListParagraph"/>
        <w:numPr>
          <w:ilvl w:val="0"/>
          <w:numId w:val="1"/>
        </w:numPr>
        <w:rPr>
          <w:rFonts w:ascii="Arial" w:hAnsi="Arial" w:cs="Arial"/>
          <w:sz w:val="24"/>
          <w:szCs w:val="24"/>
        </w:rPr>
      </w:pPr>
      <w:r>
        <w:rPr>
          <w:rFonts w:ascii="Arial" w:hAnsi="Arial" w:cs="Arial"/>
          <w:sz w:val="24"/>
          <w:szCs w:val="24"/>
        </w:rPr>
        <w:t xml:space="preserve">Physical abuse (pushing, slapping, punching or intimidation); </w:t>
      </w:r>
    </w:p>
    <w:p w:rsidR="00E560DC" w:rsidRDefault="00E560DC" w:rsidP="00E560DC">
      <w:pPr>
        <w:pStyle w:val="ListParagraph"/>
        <w:numPr>
          <w:ilvl w:val="0"/>
          <w:numId w:val="1"/>
        </w:numPr>
        <w:rPr>
          <w:rFonts w:ascii="Arial" w:hAnsi="Arial" w:cs="Arial"/>
          <w:sz w:val="24"/>
          <w:szCs w:val="24"/>
        </w:rPr>
      </w:pPr>
      <w:r>
        <w:rPr>
          <w:rFonts w:ascii="Arial" w:hAnsi="Arial" w:cs="Arial"/>
          <w:sz w:val="24"/>
          <w:szCs w:val="24"/>
        </w:rPr>
        <w:t xml:space="preserve">Sexual abuse; </w:t>
      </w:r>
    </w:p>
    <w:p w:rsidR="008862F6" w:rsidRDefault="008862F6" w:rsidP="00E560DC">
      <w:pPr>
        <w:pStyle w:val="ListParagraph"/>
        <w:numPr>
          <w:ilvl w:val="0"/>
          <w:numId w:val="1"/>
        </w:numPr>
        <w:rPr>
          <w:rFonts w:ascii="Arial" w:hAnsi="Arial" w:cs="Arial"/>
          <w:sz w:val="24"/>
          <w:szCs w:val="24"/>
        </w:rPr>
      </w:pPr>
      <w:r>
        <w:rPr>
          <w:rFonts w:ascii="Arial" w:hAnsi="Arial" w:cs="Arial"/>
          <w:sz w:val="24"/>
          <w:szCs w:val="24"/>
        </w:rPr>
        <w:t xml:space="preserve">Emotional abuse; </w:t>
      </w:r>
    </w:p>
    <w:p w:rsidR="00E560DC" w:rsidRDefault="00E560DC" w:rsidP="00E560DC">
      <w:pPr>
        <w:pStyle w:val="ListParagraph"/>
        <w:numPr>
          <w:ilvl w:val="0"/>
          <w:numId w:val="1"/>
        </w:numPr>
        <w:rPr>
          <w:rFonts w:ascii="Arial" w:hAnsi="Arial" w:cs="Arial"/>
          <w:sz w:val="24"/>
          <w:szCs w:val="24"/>
        </w:rPr>
      </w:pPr>
      <w:r>
        <w:rPr>
          <w:rFonts w:ascii="Arial" w:hAnsi="Arial" w:cs="Arial"/>
          <w:sz w:val="24"/>
          <w:szCs w:val="24"/>
        </w:rPr>
        <w:t>Psychological abuse (harass</w:t>
      </w:r>
      <w:r w:rsidR="008862F6">
        <w:rPr>
          <w:rFonts w:ascii="Arial" w:hAnsi="Arial" w:cs="Arial"/>
          <w:sz w:val="24"/>
          <w:szCs w:val="24"/>
        </w:rPr>
        <w:t xml:space="preserve">ment, pestering, shouting); </w:t>
      </w:r>
    </w:p>
    <w:p w:rsidR="008862F6" w:rsidRDefault="00E560DC" w:rsidP="00E560DC">
      <w:pPr>
        <w:pStyle w:val="ListParagraph"/>
        <w:numPr>
          <w:ilvl w:val="0"/>
          <w:numId w:val="1"/>
        </w:numPr>
        <w:rPr>
          <w:rFonts w:ascii="Arial" w:hAnsi="Arial" w:cs="Arial"/>
          <w:sz w:val="24"/>
          <w:szCs w:val="24"/>
        </w:rPr>
      </w:pPr>
      <w:r>
        <w:rPr>
          <w:rFonts w:ascii="Arial" w:hAnsi="Arial" w:cs="Arial"/>
          <w:sz w:val="24"/>
          <w:szCs w:val="24"/>
        </w:rPr>
        <w:t>Controlling behaviour (financial control and social isolation)</w:t>
      </w:r>
      <w:r w:rsidR="008862F6">
        <w:rPr>
          <w:rFonts w:ascii="Arial" w:hAnsi="Arial" w:cs="Arial"/>
          <w:sz w:val="24"/>
          <w:szCs w:val="24"/>
        </w:rPr>
        <w:t>;</w:t>
      </w:r>
    </w:p>
    <w:p w:rsidR="00E560DC" w:rsidRDefault="008862F6" w:rsidP="00E560DC">
      <w:pPr>
        <w:pStyle w:val="ListParagraph"/>
        <w:numPr>
          <w:ilvl w:val="0"/>
          <w:numId w:val="1"/>
        </w:numPr>
        <w:rPr>
          <w:rFonts w:ascii="Arial" w:hAnsi="Arial" w:cs="Arial"/>
          <w:sz w:val="24"/>
          <w:szCs w:val="24"/>
        </w:rPr>
      </w:pPr>
      <w:r>
        <w:rPr>
          <w:rFonts w:ascii="Arial" w:hAnsi="Arial" w:cs="Arial"/>
          <w:sz w:val="24"/>
          <w:szCs w:val="24"/>
        </w:rPr>
        <w:t xml:space="preserve">Coercive or threatening behaviour; and </w:t>
      </w:r>
    </w:p>
    <w:p w:rsidR="008862F6" w:rsidRDefault="008862F6" w:rsidP="00E560DC">
      <w:pPr>
        <w:pStyle w:val="ListParagraph"/>
        <w:numPr>
          <w:ilvl w:val="0"/>
          <w:numId w:val="1"/>
        </w:numPr>
        <w:rPr>
          <w:rFonts w:ascii="Arial" w:hAnsi="Arial" w:cs="Arial"/>
          <w:sz w:val="24"/>
          <w:szCs w:val="24"/>
        </w:rPr>
      </w:pPr>
      <w:r>
        <w:rPr>
          <w:rFonts w:ascii="Arial" w:hAnsi="Arial" w:cs="Arial"/>
          <w:sz w:val="24"/>
          <w:szCs w:val="24"/>
        </w:rPr>
        <w:t xml:space="preserve">Culturally specific forms of abuse including, but not limited to, forced marriage, honour-based violence and transnational marriage abandonment. </w:t>
      </w:r>
    </w:p>
    <w:p w:rsidR="00E560DC" w:rsidRDefault="00E560DC" w:rsidP="00E560DC">
      <w:pPr>
        <w:rPr>
          <w:rFonts w:ascii="Arial" w:hAnsi="Arial" w:cs="Arial"/>
          <w:sz w:val="24"/>
          <w:szCs w:val="24"/>
        </w:rPr>
      </w:pPr>
      <w:r>
        <w:rPr>
          <w:rFonts w:ascii="Arial" w:hAnsi="Arial" w:cs="Arial"/>
          <w:sz w:val="24"/>
          <w:szCs w:val="24"/>
        </w:rPr>
        <w:t xml:space="preserve">Domestic Abuse may be a series of acts forming a pattern of behaviour or one single act. </w:t>
      </w:r>
    </w:p>
    <w:p w:rsidR="00E560DC" w:rsidRDefault="00E560DC" w:rsidP="00E560DC">
      <w:pPr>
        <w:rPr>
          <w:rFonts w:ascii="Arial" w:hAnsi="Arial" w:cs="Arial"/>
          <w:sz w:val="24"/>
          <w:szCs w:val="24"/>
        </w:rPr>
      </w:pPr>
      <w:r>
        <w:rPr>
          <w:rFonts w:ascii="Arial" w:hAnsi="Arial" w:cs="Arial"/>
          <w:sz w:val="24"/>
          <w:szCs w:val="24"/>
        </w:rPr>
        <w:t xml:space="preserve">Domestic abuse can happen to anyone and is far more prevalent than most people realise. </w:t>
      </w:r>
    </w:p>
    <w:p w:rsidR="008862F6" w:rsidRDefault="009B53E8" w:rsidP="00E560DC">
      <w:pPr>
        <w:rPr>
          <w:rFonts w:ascii="Arial" w:hAnsi="Arial" w:cs="Arial"/>
          <w:b/>
          <w:sz w:val="24"/>
          <w:szCs w:val="24"/>
        </w:rPr>
      </w:pPr>
      <w:r>
        <w:rPr>
          <w:rFonts w:ascii="Arial" w:hAnsi="Arial" w:cs="Arial"/>
          <w:b/>
          <w:sz w:val="24"/>
          <w:szCs w:val="24"/>
        </w:rPr>
        <w:t xml:space="preserve">In a case of emergency, you should always contact the police. </w:t>
      </w:r>
    </w:p>
    <w:p w:rsidR="00CC087C" w:rsidRDefault="00CC087C" w:rsidP="00E560DC">
      <w:pPr>
        <w:rPr>
          <w:rFonts w:ascii="Arial" w:hAnsi="Arial" w:cs="Arial"/>
          <w:b/>
          <w:sz w:val="24"/>
          <w:szCs w:val="24"/>
        </w:rPr>
      </w:pPr>
    </w:p>
    <w:p w:rsidR="006906FE" w:rsidRDefault="006906FE" w:rsidP="006906FE">
      <w:pPr>
        <w:rPr>
          <w:rFonts w:ascii="Arial" w:hAnsi="Arial" w:cs="Arial"/>
          <w:sz w:val="24"/>
          <w:szCs w:val="24"/>
          <w:u w:val="single"/>
        </w:rPr>
      </w:pPr>
      <w:r>
        <w:rPr>
          <w:rFonts w:ascii="Arial" w:hAnsi="Arial" w:cs="Arial"/>
          <w:sz w:val="24"/>
          <w:szCs w:val="24"/>
          <w:u w:val="single"/>
        </w:rPr>
        <w:t>The Family Law Act 1996</w:t>
      </w:r>
    </w:p>
    <w:p w:rsidR="005E24F7" w:rsidRDefault="006906FE" w:rsidP="006906FE">
      <w:pPr>
        <w:rPr>
          <w:rFonts w:ascii="Arial" w:hAnsi="Arial" w:cs="Arial"/>
          <w:sz w:val="24"/>
          <w:szCs w:val="24"/>
        </w:rPr>
      </w:pPr>
      <w:r>
        <w:rPr>
          <w:rFonts w:ascii="Arial" w:hAnsi="Arial" w:cs="Arial"/>
          <w:sz w:val="24"/>
          <w:szCs w:val="24"/>
        </w:rPr>
        <w:t xml:space="preserve">This act provides remedies for domestic abuse where persons are “associated”. </w:t>
      </w:r>
    </w:p>
    <w:p w:rsidR="006906FE" w:rsidRDefault="006906FE" w:rsidP="006906FE">
      <w:pPr>
        <w:rPr>
          <w:rFonts w:ascii="Arial" w:hAnsi="Arial" w:cs="Arial"/>
          <w:sz w:val="24"/>
          <w:szCs w:val="24"/>
        </w:rPr>
      </w:pPr>
      <w:r>
        <w:rPr>
          <w:rFonts w:ascii="Arial" w:hAnsi="Arial" w:cs="Arial"/>
          <w:sz w:val="24"/>
          <w:szCs w:val="24"/>
        </w:rPr>
        <w:t>You are an “associated person” if: -</w:t>
      </w:r>
    </w:p>
    <w:p w:rsidR="006906FE" w:rsidRDefault="006906FE" w:rsidP="006906FE">
      <w:pPr>
        <w:pStyle w:val="ListParagraph"/>
        <w:numPr>
          <w:ilvl w:val="0"/>
          <w:numId w:val="2"/>
        </w:numPr>
        <w:rPr>
          <w:rFonts w:ascii="Arial" w:hAnsi="Arial" w:cs="Arial"/>
          <w:sz w:val="24"/>
          <w:szCs w:val="24"/>
        </w:rPr>
      </w:pPr>
      <w:r>
        <w:rPr>
          <w:rFonts w:ascii="Arial" w:hAnsi="Arial" w:cs="Arial"/>
          <w:sz w:val="24"/>
          <w:szCs w:val="24"/>
        </w:rPr>
        <w:t xml:space="preserve">You are or have been married to each other; </w:t>
      </w:r>
    </w:p>
    <w:p w:rsidR="006906FE" w:rsidRDefault="006906FE" w:rsidP="006906FE">
      <w:pPr>
        <w:pStyle w:val="ListParagraph"/>
        <w:numPr>
          <w:ilvl w:val="0"/>
          <w:numId w:val="2"/>
        </w:numPr>
        <w:rPr>
          <w:rFonts w:ascii="Arial" w:hAnsi="Arial" w:cs="Arial"/>
          <w:sz w:val="24"/>
          <w:szCs w:val="24"/>
        </w:rPr>
      </w:pPr>
      <w:r>
        <w:rPr>
          <w:rFonts w:ascii="Arial" w:hAnsi="Arial" w:cs="Arial"/>
          <w:sz w:val="24"/>
          <w:szCs w:val="24"/>
        </w:rPr>
        <w:t>You are or have been Civil Partners;</w:t>
      </w:r>
    </w:p>
    <w:p w:rsidR="006906FE" w:rsidRDefault="006906FE" w:rsidP="006906FE">
      <w:pPr>
        <w:pStyle w:val="ListParagraph"/>
        <w:numPr>
          <w:ilvl w:val="0"/>
          <w:numId w:val="2"/>
        </w:numPr>
        <w:rPr>
          <w:rFonts w:ascii="Arial" w:hAnsi="Arial" w:cs="Arial"/>
          <w:sz w:val="24"/>
          <w:szCs w:val="24"/>
        </w:rPr>
      </w:pPr>
      <w:r>
        <w:rPr>
          <w:rFonts w:ascii="Arial" w:hAnsi="Arial" w:cs="Arial"/>
          <w:sz w:val="24"/>
          <w:szCs w:val="24"/>
        </w:rPr>
        <w:t xml:space="preserve">You are or have been Cohabitants; </w:t>
      </w:r>
    </w:p>
    <w:p w:rsidR="006906FE" w:rsidRDefault="006906FE" w:rsidP="006906FE">
      <w:pPr>
        <w:pStyle w:val="ListParagraph"/>
        <w:numPr>
          <w:ilvl w:val="0"/>
          <w:numId w:val="2"/>
        </w:numPr>
        <w:rPr>
          <w:rFonts w:ascii="Arial" w:hAnsi="Arial" w:cs="Arial"/>
          <w:sz w:val="24"/>
          <w:szCs w:val="24"/>
        </w:rPr>
      </w:pPr>
      <w:r>
        <w:rPr>
          <w:rFonts w:ascii="Arial" w:hAnsi="Arial" w:cs="Arial"/>
          <w:sz w:val="24"/>
          <w:szCs w:val="24"/>
        </w:rPr>
        <w:t>You live in the same household save for being the other’s employee, tenant, lodger or boarder;</w:t>
      </w:r>
    </w:p>
    <w:p w:rsidR="006906FE" w:rsidRDefault="006906FE" w:rsidP="006906FE">
      <w:pPr>
        <w:pStyle w:val="ListParagraph"/>
        <w:numPr>
          <w:ilvl w:val="0"/>
          <w:numId w:val="2"/>
        </w:numPr>
        <w:rPr>
          <w:rFonts w:ascii="Arial" w:hAnsi="Arial" w:cs="Arial"/>
          <w:sz w:val="24"/>
          <w:szCs w:val="24"/>
        </w:rPr>
      </w:pPr>
      <w:r>
        <w:rPr>
          <w:rFonts w:ascii="Arial" w:hAnsi="Arial" w:cs="Arial"/>
          <w:sz w:val="24"/>
          <w:szCs w:val="24"/>
        </w:rPr>
        <w:t xml:space="preserve">You are related; </w:t>
      </w:r>
    </w:p>
    <w:p w:rsidR="006906FE" w:rsidRDefault="006906FE" w:rsidP="006906FE">
      <w:pPr>
        <w:pStyle w:val="ListParagraph"/>
        <w:numPr>
          <w:ilvl w:val="0"/>
          <w:numId w:val="2"/>
        </w:numPr>
        <w:rPr>
          <w:rFonts w:ascii="Arial" w:hAnsi="Arial" w:cs="Arial"/>
          <w:sz w:val="24"/>
          <w:szCs w:val="24"/>
        </w:rPr>
      </w:pPr>
      <w:r>
        <w:rPr>
          <w:rFonts w:ascii="Arial" w:hAnsi="Arial" w:cs="Arial"/>
          <w:sz w:val="24"/>
          <w:szCs w:val="24"/>
        </w:rPr>
        <w:t xml:space="preserve">You have agreed to marry one another; </w:t>
      </w:r>
    </w:p>
    <w:p w:rsidR="006906FE" w:rsidRDefault="006906FE" w:rsidP="006906FE">
      <w:pPr>
        <w:pStyle w:val="ListParagraph"/>
        <w:numPr>
          <w:ilvl w:val="0"/>
          <w:numId w:val="2"/>
        </w:numPr>
        <w:rPr>
          <w:rFonts w:ascii="Arial" w:hAnsi="Arial" w:cs="Arial"/>
          <w:sz w:val="24"/>
          <w:szCs w:val="24"/>
        </w:rPr>
      </w:pPr>
      <w:r>
        <w:rPr>
          <w:rFonts w:ascii="Arial" w:hAnsi="Arial" w:cs="Arial"/>
          <w:sz w:val="24"/>
          <w:szCs w:val="24"/>
        </w:rPr>
        <w:t xml:space="preserve">You have or are having an intimate relationship with each other which is of significant duration; </w:t>
      </w:r>
    </w:p>
    <w:p w:rsidR="006906FE" w:rsidRDefault="006906FE" w:rsidP="006906FE">
      <w:pPr>
        <w:pStyle w:val="ListParagraph"/>
        <w:numPr>
          <w:ilvl w:val="0"/>
          <w:numId w:val="2"/>
        </w:numPr>
        <w:rPr>
          <w:rFonts w:ascii="Arial" w:hAnsi="Arial" w:cs="Arial"/>
          <w:sz w:val="24"/>
          <w:szCs w:val="24"/>
        </w:rPr>
      </w:pPr>
      <w:r>
        <w:rPr>
          <w:rFonts w:ascii="Arial" w:hAnsi="Arial" w:cs="Arial"/>
          <w:sz w:val="24"/>
          <w:szCs w:val="24"/>
        </w:rPr>
        <w:t xml:space="preserve">In relation to a child, you are a parent of that child or have or had parental responsibility for the child; </w:t>
      </w:r>
    </w:p>
    <w:p w:rsidR="006906FE" w:rsidRDefault="006906FE" w:rsidP="00E560DC">
      <w:pPr>
        <w:pStyle w:val="ListParagraph"/>
        <w:numPr>
          <w:ilvl w:val="0"/>
          <w:numId w:val="2"/>
        </w:numPr>
        <w:rPr>
          <w:rFonts w:ascii="Arial" w:hAnsi="Arial" w:cs="Arial"/>
          <w:sz w:val="24"/>
          <w:szCs w:val="24"/>
        </w:rPr>
      </w:pPr>
      <w:r>
        <w:rPr>
          <w:rFonts w:ascii="Arial" w:hAnsi="Arial" w:cs="Arial"/>
          <w:sz w:val="24"/>
          <w:szCs w:val="24"/>
        </w:rPr>
        <w:t xml:space="preserve">You are parties to the same family proceedings. </w:t>
      </w:r>
    </w:p>
    <w:p w:rsidR="006906FE" w:rsidRPr="006906FE" w:rsidRDefault="006906FE" w:rsidP="006906FE">
      <w:pPr>
        <w:pStyle w:val="ListParagraph"/>
        <w:ind w:left="780"/>
        <w:rPr>
          <w:rFonts w:ascii="Arial" w:hAnsi="Arial" w:cs="Arial"/>
          <w:sz w:val="24"/>
          <w:szCs w:val="24"/>
        </w:rPr>
      </w:pPr>
    </w:p>
    <w:p w:rsidR="00E560DC" w:rsidRDefault="00E560DC" w:rsidP="00E560DC">
      <w:pPr>
        <w:rPr>
          <w:rFonts w:ascii="Arial" w:hAnsi="Arial" w:cs="Arial"/>
          <w:sz w:val="24"/>
          <w:szCs w:val="24"/>
          <w:u w:val="single"/>
        </w:rPr>
      </w:pPr>
      <w:r>
        <w:rPr>
          <w:rFonts w:ascii="Arial" w:hAnsi="Arial" w:cs="Arial"/>
          <w:sz w:val="24"/>
          <w:szCs w:val="24"/>
          <w:u w:val="single"/>
        </w:rPr>
        <w:t>Funding</w:t>
      </w:r>
    </w:p>
    <w:p w:rsidR="00E560DC" w:rsidRDefault="00E560DC" w:rsidP="00E560DC">
      <w:pPr>
        <w:rPr>
          <w:rFonts w:ascii="Arial" w:hAnsi="Arial" w:cs="Arial"/>
          <w:sz w:val="24"/>
          <w:szCs w:val="24"/>
        </w:rPr>
      </w:pPr>
      <w:r>
        <w:rPr>
          <w:rFonts w:ascii="Arial" w:hAnsi="Arial" w:cs="Arial"/>
          <w:sz w:val="24"/>
          <w:szCs w:val="24"/>
        </w:rPr>
        <w:t xml:space="preserve">Legal Aid is available to people who have suffered domestic abuse and provides for immediate action if you qualify financially. </w:t>
      </w:r>
    </w:p>
    <w:p w:rsidR="006906FE" w:rsidRDefault="006906FE" w:rsidP="00E560DC">
      <w:pPr>
        <w:rPr>
          <w:rFonts w:ascii="Arial" w:hAnsi="Arial" w:cs="Arial"/>
          <w:sz w:val="24"/>
          <w:szCs w:val="24"/>
        </w:rPr>
      </w:pPr>
    </w:p>
    <w:p w:rsidR="008862F6" w:rsidRDefault="008862F6" w:rsidP="00E560DC">
      <w:pPr>
        <w:rPr>
          <w:rFonts w:ascii="Arial" w:hAnsi="Arial" w:cs="Arial"/>
          <w:sz w:val="24"/>
          <w:szCs w:val="24"/>
        </w:rPr>
      </w:pPr>
    </w:p>
    <w:p w:rsidR="008862F6" w:rsidRDefault="008862F6" w:rsidP="00E560DC">
      <w:pPr>
        <w:rPr>
          <w:rFonts w:ascii="Arial" w:hAnsi="Arial" w:cs="Arial"/>
          <w:sz w:val="24"/>
          <w:szCs w:val="24"/>
        </w:rPr>
      </w:pPr>
    </w:p>
    <w:p w:rsidR="00D05EB2" w:rsidRDefault="00D05EB2" w:rsidP="00E560DC">
      <w:pPr>
        <w:rPr>
          <w:rFonts w:ascii="Arial" w:hAnsi="Arial" w:cs="Arial"/>
          <w:sz w:val="24"/>
          <w:szCs w:val="24"/>
          <w:u w:val="single"/>
        </w:rPr>
      </w:pPr>
      <w:r>
        <w:rPr>
          <w:rFonts w:ascii="Arial" w:hAnsi="Arial" w:cs="Arial"/>
          <w:sz w:val="24"/>
          <w:szCs w:val="24"/>
          <w:u w:val="single"/>
        </w:rPr>
        <w:lastRenderedPageBreak/>
        <w:t>Warning Letter</w:t>
      </w:r>
    </w:p>
    <w:p w:rsidR="00D05EB2" w:rsidRDefault="00D05EB2" w:rsidP="00E560DC">
      <w:pPr>
        <w:rPr>
          <w:rFonts w:ascii="Arial" w:hAnsi="Arial" w:cs="Arial"/>
          <w:sz w:val="24"/>
          <w:szCs w:val="24"/>
        </w:rPr>
      </w:pPr>
      <w:r>
        <w:rPr>
          <w:rFonts w:ascii="Arial" w:hAnsi="Arial" w:cs="Arial"/>
          <w:sz w:val="24"/>
          <w:szCs w:val="24"/>
        </w:rPr>
        <w:t xml:space="preserve">The first step to take is usually to send a warning letter to the other party putting them “on notice” that you want no further contact from them either direct or indirect. </w:t>
      </w:r>
    </w:p>
    <w:p w:rsidR="00D05EB2" w:rsidRDefault="00D05EB2" w:rsidP="00E560DC">
      <w:pPr>
        <w:rPr>
          <w:rFonts w:ascii="Arial" w:hAnsi="Arial" w:cs="Arial"/>
          <w:sz w:val="24"/>
          <w:szCs w:val="24"/>
        </w:rPr>
      </w:pPr>
      <w:r>
        <w:rPr>
          <w:rFonts w:ascii="Arial" w:hAnsi="Arial" w:cs="Arial"/>
          <w:sz w:val="24"/>
          <w:szCs w:val="24"/>
        </w:rPr>
        <w:t xml:space="preserve">If this does not prevent them from contacting you, then you may have no alternative but to seek a Protective Order as described below. </w:t>
      </w:r>
    </w:p>
    <w:p w:rsidR="00D05EB2" w:rsidRDefault="006906FE" w:rsidP="00E560DC">
      <w:pPr>
        <w:rPr>
          <w:rFonts w:ascii="Arial" w:hAnsi="Arial" w:cs="Arial"/>
          <w:sz w:val="24"/>
          <w:szCs w:val="24"/>
          <w:u w:val="single"/>
        </w:rPr>
      </w:pPr>
      <w:r>
        <w:rPr>
          <w:rFonts w:ascii="Arial" w:hAnsi="Arial" w:cs="Arial"/>
          <w:sz w:val="24"/>
          <w:szCs w:val="24"/>
          <w:u w:val="single"/>
        </w:rPr>
        <w:t xml:space="preserve">Orders made without notice </w:t>
      </w:r>
    </w:p>
    <w:p w:rsidR="00CC087C" w:rsidRDefault="006906FE" w:rsidP="00E560DC">
      <w:pPr>
        <w:rPr>
          <w:rFonts w:ascii="Arial" w:hAnsi="Arial" w:cs="Arial"/>
          <w:sz w:val="24"/>
          <w:szCs w:val="24"/>
        </w:rPr>
      </w:pPr>
      <w:r>
        <w:rPr>
          <w:rFonts w:ascii="Arial" w:hAnsi="Arial" w:cs="Arial"/>
          <w:sz w:val="24"/>
          <w:szCs w:val="24"/>
        </w:rPr>
        <w:t xml:space="preserve">In certain circumstances it will not be considered suitable to send a warning letter and instead it will be necessary for an emergency application to be made at Court without giving notice to the </w:t>
      </w:r>
      <w:r w:rsidR="00CC087C">
        <w:rPr>
          <w:rFonts w:ascii="Arial" w:hAnsi="Arial" w:cs="Arial"/>
          <w:sz w:val="24"/>
          <w:szCs w:val="24"/>
        </w:rPr>
        <w:t>other side, known as the “</w:t>
      </w:r>
      <w:r>
        <w:rPr>
          <w:rFonts w:ascii="Arial" w:hAnsi="Arial" w:cs="Arial"/>
          <w:sz w:val="24"/>
          <w:szCs w:val="24"/>
        </w:rPr>
        <w:t>Respondent</w:t>
      </w:r>
      <w:r w:rsidR="00CC087C">
        <w:rPr>
          <w:rFonts w:ascii="Arial" w:hAnsi="Arial" w:cs="Arial"/>
          <w:sz w:val="24"/>
          <w:szCs w:val="24"/>
        </w:rPr>
        <w:t>”</w:t>
      </w:r>
      <w:r>
        <w:rPr>
          <w:rFonts w:ascii="Arial" w:hAnsi="Arial" w:cs="Arial"/>
          <w:sz w:val="24"/>
          <w:szCs w:val="24"/>
        </w:rPr>
        <w:t xml:space="preserve"> first. </w:t>
      </w:r>
      <w:r w:rsidR="00CC087C">
        <w:rPr>
          <w:rFonts w:ascii="Arial" w:hAnsi="Arial" w:cs="Arial"/>
          <w:sz w:val="24"/>
          <w:szCs w:val="24"/>
        </w:rPr>
        <w:t xml:space="preserve">The person making the application will be known as the “Applicant” in the proceedings. </w:t>
      </w:r>
    </w:p>
    <w:p w:rsidR="006906FE" w:rsidRDefault="006906FE" w:rsidP="00E560DC">
      <w:pPr>
        <w:rPr>
          <w:rFonts w:ascii="Arial" w:hAnsi="Arial" w:cs="Arial"/>
          <w:sz w:val="24"/>
          <w:szCs w:val="24"/>
        </w:rPr>
      </w:pPr>
      <w:r>
        <w:rPr>
          <w:rFonts w:ascii="Arial" w:hAnsi="Arial" w:cs="Arial"/>
          <w:sz w:val="24"/>
          <w:szCs w:val="24"/>
        </w:rPr>
        <w:t xml:space="preserve">This is because if you are at risk of serious harm, giving the Respondent notice can exacerbate an already dangerous situation. This is a particularly useful tool if you are unable to move away to </w:t>
      </w:r>
      <w:r w:rsidR="00CC087C">
        <w:rPr>
          <w:rFonts w:ascii="Arial" w:hAnsi="Arial" w:cs="Arial"/>
          <w:sz w:val="24"/>
          <w:szCs w:val="24"/>
        </w:rPr>
        <w:t>R</w:t>
      </w:r>
      <w:r>
        <w:rPr>
          <w:rFonts w:ascii="Arial" w:hAnsi="Arial" w:cs="Arial"/>
          <w:sz w:val="24"/>
          <w:szCs w:val="24"/>
        </w:rPr>
        <w:t xml:space="preserve">efuge or another safe place whilst the Respondent has notice of the hearing. </w:t>
      </w:r>
    </w:p>
    <w:p w:rsidR="00426576" w:rsidRPr="00D05EB2" w:rsidRDefault="006906FE" w:rsidP="00E560DC">
      <w:pPr>
        <w:rPr>
          <w:rFonts w:ascii="Arial" w:hAnsi="Arial" w:cs="Arial"/>
          <w:sz w:val="24"/>
          <w:szCs w:val="24"/>
        </w:rPr>
      </w:pPr>
      <w:r>
        <w:rPr>
          <w:rFonts w:ascii="Arial" w:hAnsi="Arial" w:cs="Arial"/>
          <w:sz w:val="24"/>
          <w:szCs w:val="24"/>
        </w:rPr>
        <w:t xml:space="preserve">If the Court makes an Order without notice of such application having been provided to the Respondent, the Court must give the Respondent an opportunity to make representations as soon as just and convenient at a full hearing, known as a “return date”.  </w:t>
      </w:r>
    </w:p>
    <w:p w:rsidR="00F9245B" w:rsidRDefault="00F9245B" w:rsidP="00F9245B">
      <w:pPr>
        <w:rPr>
          <w:rFonts w:ascii="Arial" w:hAnsi="Arial" w:cs="Arial"/>
          <w:sz w:val="24"/>
          <w:szCs w:val="24"/>
          <w:u w:val="single"/>
        </w:rPr>
      </w:pPr>
      <w:r>
        <w:rPr>
          <w:rFonts w:ascii="Arial" w:hAnsi="Arial" w:cs="Arial"/>
          <w:sz w:val="24"/>
          <w:szCs w:val="24"/>
          <w:u w:val="single"/>
        </w:rPr>
        <w:t>Non-Molestation Order</w:t>
      </w:r>
    </w:p>
    <w:p w:rsidR="00F9245B" w:rsidRDefault="00F9245B" w:rsidP="00F9245B">
      <w:pPr>
        <w:rPr>
          <w:rFonts w:ascii="Arial" w:hAnsi="Arial" w:cs="Arial"/>
          <w:sz w:val="24"/>
          <w:szCs w:val="24"/>
        </w:rPr>
      </w:pPr>
      <w:r>
        <w:rPr>
          <w:rFonts w:ascii="Arial" w:hAnsi="Arial" w:cs="Arial"/>
          <w:sz w:val="24"/>
          <w:szCs w:val="24"/>
        </w:rPr>
        <w:t xml:space="preserve">One of the protection Orders you can seek is a Non-Molestation Order which: - </w:t>
      </w:r>
    </w:p>
    <w:p w:rsidR="00F9245B" w:rsidRDefault="00F9245B" w:rsidP="00F9245B">
      <w:pPr>
        <w:pStyle w:val="ListParagraph"/>
        <w:numPr>
          <w:ilvl w:val="0"/>
          <w:numId w:val="3"/>
        </w:numPr>
        <w:rPr>
          <w:rFonts w:ascii="Arial" w:hAnsi="Arial" w:cs="Arial"/>
          <w:sz w:val="24"/>
          <w:szCs w:val="24"/>
        </w:rPr>
      </w:pPr>
      <w:r>
        <w:rPr>
          <w:rFonts w:ascii="Arial" w:hAnsi="Arial" w:cs="Arial"/>
          <w:sz w:val="24"/>
          <w:szCs w:val="24"/>
        </w:rPr>
        <w:t>Prohibits the Respondent from molesting another person who is “associated” with the Respondent; and/or</w:t>
      </w:r>
    </w:p>
    <w:p w:rsidR="00F9245B" w:rsidRDefault="00F9245B" w:rsidP="00F9245B">
      <w:pPr>
        <w:pStyle w:val="ListParagraph"/>
        <w:numPr>
          <w:ilvl w:val="0"/>
          <w:numId w:val="3"/>
        </w:numPr>
        <w:rPr>
          <w:rFonts w:ascii="Arial" w:hAnsi="Arial" w:cs="Arial"/>
          <w:sz w:val="24"/>
          <w:szCs w:val="24"/>
        </w:rPr>
      </w:pPr>
      <w:r>
        <w:rPr>
          <w:rFonts w:ascii="Arial" w:hAnsi="Arial" w:cs="Arial"/>
          <w:sz w:val="24"/>
          <w:szCs w:val="24"/>
        </w:rPr>
        <w:t xml:space="preserve">Prohibits the Respondent from molesting a relevant child. </w:t>
      </w:r>
    </w:p>
    <w:p w:rsidR="00F9245B" w:rsidRDefault="00F9245B" w:rsidP="00F9245B">
      <w:pPr>
        <w:rPr>
          <w:rFonts w:ascii="Arial" w:hAnsi="Arial" w:cs="Arial"/>
          <w:sz w:val="24"/>
          <w:szCs w:val="24"/>
        </w:rPr>
      </w:pPr>
      <w:r>
        <w:rPr>
          <w:rFonts w:ascii="Arial" w:hAnsi="Arial" w:cs="Arial"/>
          <w:sz w:val="24"/>
          <w:szCs w:val="24"/>
        </w:rPr>
        <w:t xml:space="preserve">There is no statutory definition of “Molestation” but it is wider than violence and can include threats of violence, harassing telephone calls, stalking etc.  </w:t>
      </w:r>
    </w:p>
    <w:p w:rsidR="00F9245B" w:rsidRDefault="00F9245B" w:rsidP="00F9245B">
      <w:pPr>
        <w:rPr>
          <w:rFonts w:ascii="Arial" w:hAnsi="Arial" w:cs="Arial"/>
          <w:sz w:val="24"/>
          <w:szCs w:val="24"/>
        </w:rPr>
      </w:pPr>
      <w:r>
        <w:rPr>
          <w:rFonts w:ascii="Arial" w:hAnsi="Arial" w:cs="Arial"/>
          <w:sz w:val="24"/>
          <w:szCs w:val="24"/>
        </w:rPr>
        <w:t xml:space="preserve">When considering the application, the Court will consider all the circumstances of the case, including the need to secure the health, safety and well-being of the Applicant and of any relevant child. </w:t>
      </w:r>
    </w:p>
    <w:p w:rsidR="00282CA7" w:rsidRDefault="00282CA7" w:rsidP="00F9245B">
      <w:pPr>
        <w:rPr>
          <w:rFonts w:ascii="Arial" w:hAnsi="Arial" w:cs="Arial"/>
          <w:sz w:val="24"/>
          <w:szCs w:val="24"/>
        </w:rPr>
      </w:pPr>
      <w:r>
        <w:rPr>
          <w:rFonts w:ascii="Arial" w:hAnsi="Arial" w:cs="Arial"/>
          <w:sz w:val="24"/>
          <w:szCs w:val="24"/>
        </w:rPr>
        <w:t xml:space="preserve">When making an application to the Court for a Non-Molestation Order, you will be expected to file a Witness Statement </w:t>
      </w:r>
      <w:r w:rsidR="005E24F7">
        <w:rPr>
          <w:rFonts w:ascii="Arial" w:hAnsi="Arial" w:cs="Arial"/>
          <w:sz w:val="24"/>
          <w:szCs w:val="24"/>
        </w:rPr>
        <w:t xml:space="preserve">which should </w:t>
      </w:r>
      <w:r>
        <w:rPr>
          <w:rFonts w:ascii="Arial" w:hAnsi="Arial" w:cs="Arial"/>
          <w:sz w:val="24"/>
          <w:szCs w:val="24"/>
        </w:rPr>
        <w:t>includ</w:t>
      </w:r>
      <w:r w:rsidR="005E24F7">
        <w:rPr>
          <w:rFonts w:ascii="Arial" w:hAnsi="Arial" w:cs="Arial"/>
          <w:sz w:val="24"/>
          <w:szCs w:val="24"/>
        </w:rPr>
        <w:t>e</w:t>
      </w:r>
      <w:r>
        <w:rPr>
          <w:rFonts w:ascii="Arial" w:hAnsi="Arial" w:cs="Arial"/>
          <w:sz w:val="24"/>
          <w:szCs w:val="24"/>
        </w:rPr>
        <w:t xml:space="preserve"> a chronology of incidents or injuries, </w:t>
      </w:r>
      <w:r w:rsidR="005E24F7">
        <w:rPr>
          <w:rFonts w:ascii="Arial" w:hAnsi="Arial" w:cs="Arial"/>
          <w:sz w:val="24"/>
          <w:szCs w:val="24"/>
        </w:rPr>
        <w:t>up</w:t>
      </w:r>
      <w:r>
        <w:rPr>
          <w:rFonts w:ascii="Arial" w:hAnsi="Arial" w:cs="Arial"/>
          <w:sz w:val="24"/>
          <w:szCs w:val="24"/>
        </w:rPr>
        <w:t xml:space="preserve">on which you are relying. </w:t>
      </w:r>
    </w:p>
    <w:p w:rsidR="00426576" w:rsidRDefault="005E24F7" w:rsidP="00F9245B">
      <w:pPr>
        <w:rPr>
          <w:rFonts w:ascii="Arial" w:hAnsi="Arial" w:cs="Arial"/>
          <w:sz w:val="24"/>
          <w:szCs w:val="24"/>
        </w:rPr>
      </w:pPr>
      <w:r>
        <w:rPr>
          <w:rFonts w:ascii="Arial" w:hAnsi="Arial" w:cs="Arial"/>
          <w:sz w:val="24"/>
          <w:szCs w:val="24"/>
        </w:rPr>
        <w:t>If the Hearing is held without notice</w:t>
      </w:r>
      <w:r w:rsidR="00282CA7">
        <w:rPr>
          <w:rFonts w:ascii="Arial" w:hAnsi="Arial" w:cs="Arial"/>
          <w:sz w:val="24"/>
          <w:szCs w:val="24"/>
        </w:rPr>
        <w:t xml:space="preserve">, the </w:t>
      </w:r>
      <w:r w:rsidR="00426576">
        <w:rPr>
          <w:rFonts w:ascii="Arial" w:hAnsi="Arial" w:cs="Arial"/>
          <w:sz w:val="24"/>
          <w:szCs w:val="24"/>
        </w:rPr>
        <w:t xml:space="preserve">court must </w:t>
      </w:r>
      <w:r>
        <w:rPr>
          <w:rFonts w:ascii="Arial" w:hAnsi="Arial" w:cs="Arial"/>
          <w:sz w:val="24"/>
          <w:szCs w:val="24"/>
        </w:rPr>
        <w:t xml:space="preserve">list the matter for a </w:t>
      </w:r>
      <w:r w:rsidR="00426576">
        <w:rPr>
          <w:rFonts w:ascii="Arial" w:hAnsi="Arial" w:cs="Arial"/>
          <w:sz w:val="24"/>
          <w:szCs w:val="24"/>
        </w:rPr>
        <w:t xml:space="preserve">“return date”, generally </w:t>
      </w:r>
      <w:r>
        <w:rPr>
          <w:rFonts w:ascii="Arial" w:hAnsi="Arial" w:cs="Arial"/>
          <w:sz w:val="24"/>
          <w:szCs w:val="24"/>
        </w:rPr>
        <w:t xml:space="preserve">within 5 days of </w:t>
      </w:r>
      <w:r w:rsidR="00426576">
        <w:rPr>
          <w:rFonts w:ascii="Arial" w:hAnsi="Arial" w:cs="Arial"/>
          <w:sz w:val="24"/>
          <w:szCs w:val="24"/>
        </w:rPr>
        <w:t>the initial hearing</w:t>
      </w:r>
      <w:r>
        <w:rPr>
          <w:rFonts w:ascii="Arial" w:hAnsi="Arial" w:cs="Arial"/>
          <w:sz w:val="24"/>
          <w:szCs w:val="24"/>
        </w:rPr>
        <w:t>,</w:t>
      </w:r>
      <w:r w:rsidR="00426576">
        <w:rPr>
          <w:rFonts w:ascii="Arial" w:hAnsi="Arial" w:cs="Arial"/>
          <w:sz w:val="24"/>
          <w:szCs w:val="24"/>
        </w:rPr>
        <w:t xml:space="preserve"> to give the Respondent an</w:t>
      </w:r>
      <w:r>
        <w:rPr>
          <w:rFonts w:ascii="Arial" w:hAnsi="Arial" w:cs="Arial"/>
          <w:sz w:val="24"/>
          <w:szCs w:val="24"/>
        </w:rPr>
        <w:t xml:space="preserve"> opportunity to put their case forward as quickly as possible. This is because </w:t>
      </w:r>
      <w:proofErr w:type="gramStart"/>
      <w:r>
        <w:rPr>
          <w:rFonts w:ascii="Arial" w:hAnsi="Arial" w:cs="Arial"/>
          <w:sz w:val="24"/>
          <w:szCs w:val="24"/>
        </w:rPr>
        <w:t>until such time as</w:t>
      </w:r>
      <w:proofErr w:type="gramEnd"/>
      <w:r>
        <w:rPr>
          <w:rFonts w:ascii="Arial" w:hAnsi="Arial" w:cs="Arial"/>
          <w:sz w:val="24"/>
          <w:szCs w:val="24"/>
        </w:rPr>
        <w:t xml:space="preserve"> they are able to give their submissions, they have an Order against them, which has potentially criminal sanctions attached to it which is not considered </w:t>
      </w:r>
      <w:r w:rsidR="0066634B">
        <w:rPr>
          <w:rFonts w:ascii="Arial" w:hAnsi="Arial" w:cs="Arial"/>
          <w:sz w:val="24"/>
          <w:szCs w:val="24"/>
        </w:rPr>
        <w:t xml:space="preserve">just for any more than a few days. </w:t>
      </w:r>
    </w:p>
    <w:p w:rsidR="008862F6" w:rsidRDefault="008862F6" w:rsidP="00F9245B">
      <w:pPr>
        <w:rPr>
          <w:rFonts w:ascii="Arial" w:hAnsi="Arial" w:cs="Arial"/>
          <w:sz w:val="24"/>
          <w:szCs w:val="24"/>
        </w:rPr>
      </w:pPr>
    </w:p>
    <w:p w:rsidR="008862F6" w:rsidRDefault="008862F6" w:rsidP="00F9245B">
      <w:pPr>
        <w:rPr>
          <w:rFonts w:ascii="Arial" w:hAnsi="Arial" w:cs="Arial"/>
          <w:sz w:val="24"/>
          <w:szCs w:val="24"/>
        </w:rPr>
      </w:pPr>
    </w:p>
    <w:p w:rsidR="0066634B" w:rsidRDefault="0066634B" w:rsidP="00F9245B">
      <w:pPr>
        <w:rPr>
          <w:rFonts w:ascii="Arial" w:hAnsi="Arial" w:cs="Arial"/>
          <w:sz w:val="24"/>
          <w:szCs w:val="24"/>
        </w:rPr>
      </w:pPr>
      <w:r>
        <w:rPr>
          <w:rFonts w:ascii="Arial" w:hAnsi="Arial" w:cs="Arial"/>
          <w:sz w:val="24"/>
          <w:szCs w:val="24"/>
        </w:rPr>
        <w:t>At</w:t>
      </w:r>
      <w:r w:rsidR="00426576">
        <w:rPr>
          <w:rFonts w:ascii="Arial" w:hAnsi="Arial" w:cs="Arial"/>
          <w:sz w:val="24"/>
          <w:szCs w:val="24"/>
        </w:rPr>
        <w:t xml:space="preserve"> the “return date” hearing</w:t>
      </w:r>
      <w:r>
        <w:rPr>
          <w:rFonts w:ascii="Arial" w:hAnsi="Arial" w:cs="Arial"/>
          <w:sz w:val="24"/>
          <w:szCs w:val="24"/>
        </w:rPr>
        <w:t xml:space="preserve">: - </w:t>
      </w:r>
    </w:p>
    <w:p w:rsidR="0066634B" w:rsidRDefault="0066634B" w:rsidP="0066634B">
      <w:pPr>
        <w:pStyle w:val="ListParagraph"/>
        <w:numPr>
          <w:ilvl w:val="0"/>
          <w:numId w:val="7"/>
        </w:numPr>
        <w:rPr>
          <w:rFonts w:ascii="Arial" w:hAnsi="Arial" w:cs="Arial"/>
          <w:sz w:val="24"/>
          <w:szCs w:val="24"/>
        </w:rPr>
      </w:pPr>
      <w:r>
        <w:rPr>
          <w:rFonts w:ascii="Arial" w:hAnsi="Arial" w:cs="Arial"/>
          <w:sz w:val="24"/>
          <w:szCs w:val="24"/>
        </w:rPr>
        <w:t>The Respondent may a</w:t>
      </w:r>
      <w:r w:rsidR="009329A4" w:rsidRPr="0066634B">
        <w:rPr>
          <w:rFonts w:ascii="Arial" w:hAnsi="Arial" w:cs="Arial"/>
          <w:sz w:val="24"/>
          <w:szCs w:val="24"/>
        </w:rPr>
        <w:t xml:space="preserve">gree to an Order remaining in place, even if he does not admit any of the allegations made, in </w:t>
      </w:r>
      <w:r w:rsidRPr="0066634B">
        <w:rPr>
          <w:rFonts w:ascii="Arial" w:hAnsi="Arial" w:cs="Arial"/>
          <w:sz w:val="24"/>
          <w:szCs w:val="24"/>
        </w:rPr>
        <w:t>a hope of</w:t>
      </w:r>
      <w:r w:rsidR="009329A4" w:rsidRPr="0066634B">
        <w:rPr>
          <w:rFonts w:ascii="Arial" w:hAnsi="Arial" w:cs="Arial"/>
          <w:sz w:val="24"/>
          <w:szCs w:val="24"/>
        </w:rPr>
        <w:t xml:space="preserve"> bring</w:t>
      </w:r>
      <w:r w:rsidRPr="0066634B">
        <w:rPr>
          <w:rFonts w:ascii="Arial" w:hAnsi="Arial" w:cs="Arial"/>
          <w:sz w:val="24"/>
          <w:szCs w:val="24"/>
        </w:rPr>
        <w:t>ing</w:t>
      </w:r>
      <w:r w:rsidR="009329A4" w:rsidRPr="0066634B">
        <w:rPr>
          <w:rFonts w:ascii="Arial" w:hAnsi="Arial" w:cs="Arial"/>
          <w:sz w:val="24"/>
          <w:szCs w:val="24"/>
        </w:rPr>
        <w:t xml:space="preserve"> matters to a conclusion without the need </w:t>
      </w:r>
      <w:r w:rsidRPr="0066634B">
        <w:rPr>
          <w:rFonts w:ascii="Arial" w:hAnsi="Arial" w:cs="Arial"/>
          <w:sz w:val="24"/>
          <w:szCs w:val="24"/>
        </w:rPr>
        <w:t xml:space="preserve">for a </w:t>
      </w:r>
      <w:r>
        <w:rPr>
          <w:rFonts w:ascii="Arial" w:hAnsi="Arial" w:cs="Arial"/>
          <w:sz w:val="24"/>
          <w:szCs w:val="24"/>
        </w:rPr>
        <w:t>Final H</w:t>
      </w:r>
      <w:r w:rsidRPr="0066634B">
        <w:rPr>
          <w:rFonts w:ascii="Arial" w:hAnsi="Arial" w:cs="Arial"/>
          <w:sz w:val="24"/>
          <w:szCs w:val="24"/>
        </w:rPr>
        <w:t>earing</w:t>
      </w:r>
      <w:r>
        <w:rPr>
          <w:rFonts w:ascii="Arial" w:hAnsi="Arial" w:cs="Arial"/>
          <w:sz w:val="24"/>
          <w:szCs w:val="24"/>
        </w:rPr>
        <w:t xml:space="preserve">; </w:t>
      </w:r>
    </w:p>
    <w:p w:rsidR="009329A4" w:rsidRDefault="0066634B" w:rsidP="0066634B">
      <w:pPr>
        <w:pStyle w:val="ListParagraph"/>
        <w:numPr>
          <w:ilvl w:val="0"/>
          <w:numId w:val="7"/>
        </w:numPr>
        <w:rPr>
          <w:rFonts w:ascii="Arial" w:hAnsi="Arial" w:cs="Arial"/>
          <w:sz w:val="24"/>
          <w:szCs w:val="24"/>
        </w:rPr>
      </w:pPr>
      <w:r>
        <w:rPr>
          <w:rFonts w:ascii="Arial" w:hAnsi="Arial" w:cs="Arial"/>
          <w:sz w:val="24"/>
          <w:szCs w:val="24"/>
        </w:rPr>
        <w:t>The Respondent may agree to g</w:t>
      </w:r>
      <w:r w:rsidR="009329A4" w:rsidRPr="0066634B">
        <w:rPr>
          <w:rFonts w:ascii="Arial" w:hAnsi="Arial" w:cs="Arial"/>
          <w:sz w:val="24"/>
          <w:szCs w:val="24"/>
        </w:rPr>
        <w:t xml:space="preserve">ive an Undertaking, which is a formal promise to the Court not to harass, pester, intimidate </w:t>
      </w:r>
      <w:r>
        <w:rPr>
          <w:rFonts w:ascii="Arial" w:hAnsi="Arial" w:cs="Arial"/>
          <w:sz w:val="24"/>
          <w:szCs w:val="24"/>
        </w:rPr>
        <w:t xml:space="preserve">etc; or </w:t>
      </w:r>
    </w:p>
    <w:p w:rsidR="0066634B" w:rsidRPr="0066634B" w:rsidRDefault="0066634B" w:rsidP="0066634B">
      <w:pPr>
        <w:pStyle w:val="ListParagraph"/>
        <w:numPr>
          <w:ilvl w:val="0"/>
          <w:numId w:val="7"/>
        </w:numPr>
        <w:rPr>
          <w:rFonts w:ascii="Arial" w:hAnsi="Arial" w:cs="Arial"/>
          <w:sz w:val="24"/>
          <w:szCs w:val="24"/>
        </w:rPr>
      </w:pPr>
      <w:r>
        <w:rPr>
          <w:rFonts w:ascii="Arial" w:hAnsi="Arial" w:cs="Arial"/>
          <w:sz w:val="24"/>
          <w:szCs w:val="24"/>
        </w:rPr>
        <w:t xml:space="preserve">If the Respondent contests </w:t>
      </w:r>
      <w:proofErr w:type="gramStart"/>
      <w:r>
        <w:rPr>
          <w:rFonts w:ascii="Arial" w:hAnsi="Arial" w:cs="Arial"/>
          <w:sz w:val="24"/>
          <w:szCs w:val="24"/>
        </w:rPr>
        <w:t>all of</w:t>
      </w:r>
      <w:proofErr w:type="gramEnd"/>
      <w:r>
        <w:rPr>
          <w:rFonts w:ascii="Arial" w:hAnsi="Arial" w:cs="Arial"/>
          <w:sz w:val="24"/>
          <w:szCs w:val="24"/>
        </w:rPr>
        <w:t xml:space="preserve"> the allegations made and the need for an Order/Undertaking, the matter is to be listed for a Final Hearing,</w:t>
      </w:r>
      <w:r w:rsidRPr="0066634B">
        <w:rPr>
          <w:rFonts w:ascii="Arial" w:hAnsi="Arial" w:cs="Arial"/>
          <w:sz w:val="24"/>
          <w:szCs w:val="24"/>
        </w:rPr>
        <w:t xml:space="preserve"> where both parties will be expected </w:t>
      </w:r>
      <w:r>
        <w:rPr>
          <w:rFonts w:ascii="Arial" w:hAnsi="Arial" w:cs="Arial"/>
          <w:sz w:val="24"/>
          <w:szCs w:val="24"/>
        </w:rPr>
        <w:t xml:space="preserve">to give oral submissions on the allegations made.  </w:t>
      </w:r>
    </w:p>
    <w:p w:rsidR="00282CA7" w:rsidRDefault="00426576" w:rsidP="00F9245B">
      <w:pPr>
        <w:rPr>
          <w:rFonts w:ascii="Arial" w:hAnsi="Arial" w:cs="Arial"/>
          <w:sz w:val="24"/>
          <w:szCs w:val="24"/>
        </w:rPr>
      </w:pPr>
      <w:r>
        <w:rPr>
          <w:rFonts w:ascii="Arial" w:hAnsi="Arial" w:cs="Arial"/>
          <w:sz w:val="24"/>
          <w:szCs w:val="24"/>
        </w:rPr>
        <w:t>If a Final Hearing is necessary the Court can make directions</w:t>
      </w:r>
      <w:r w:rsidR="0066634B">
        <w:rPr>
          <w:rFonts w:ascii="Arial" w:hAnsi="Arial" w:cs="Arial"/>
          <w:sz w:val="24"/>
          <w:szCs w:val="24"/>
        </w:rPr>
        <w:t xml:space="preserve"> at the “return date”</w:t>
      </w:r>
      <w:r>
        <w:rPr>
          <w:rFonts w:ascii="Arial" w:hAnsi="Arial" w:cs="Arial"/>
          <w:sz w:val="24"/>
          <w:szCs w:val="24"/>
        </w:rPr>
        <w:t xml:space="preserve"> for statements</w:t>
      </w:r>
      <w:r w:rsidR="0066634B">
        <w:rPr>
          <w:rFonts w:ascii="Arial" w:hAnsi="Arial" w:cs="Arial"/>
          <w:sz w:val="24"/>
          <w:szCs w:val="24"/>
        </w:rPr>
        <w:t xml:space="preserve"> or expert evidence. </w:t>
      </w:r>
    </w:p>
    <w:p w:rsidR="009B53E8" w:rsidRDefault="009B53E8" w:rsidP="00F9245B">
      <w:pPr>
        <w:rPr>
          <w:rFonts w:ascii="Arial" w:hAnsi="Arial" w:cs="Arial"/>
          <w:sz w:val="24"/>
          <w:szCs w:val="24"/>
        </w:rPr>
      </w:pPr>
      <w:proofErr w:type="gramStart"/>
      <w:r>
        <w:rPr>
          <w:rFonts w:ascii="Arial" w:hAnsi="Arial" w:cs="Arial"/>
          <w:sz w:val="24"/>
          <w:szCs w:val="24"/>
        </w:rPr>
        <w:t xml:space="preserve">If </w:t>
      </w:r>
      <w:r w:rsidR="0066634B">
        <w:rPr>
          <w:rFonts w:ascii="Arial" w:hAnsi="Arial" w:cs="Arial"/>
          <w:sz w:val="24"/>
          <w:szCs w:val="24"/>
        </w:rPr>
        <w:t>and when</w:t>
      </w:r>
      <w:proofErr w:type="gramEnd"/>
      <w:r w:rsidR="0066634B">
        <w:rPr>
          <w:rFonts w:ascii="Arial" w:hAnsi="Arial" w:cs="Arial"/>
          <w:sz w:val="24"/>
          <w:szCs w:val="24"/>
        </w:rPr>
        <w:t xml:space="preserve"> </w:t>
      </w:r>
      <w:r>
        <w:rPr>
          <w:rFonts w:ascii="Arial" w:hAnsi="Arial" w:cs="Arial"/>
          <w:sz w:val="24"/>
          <w:szCs w:val="24"/>
        </w:rPr>
        <w:t xml:space="preserve">an Order is made, it will be for a specified period of time or until further order. </w:t>
      </w:r>
    </w:p>
    <w:p w:rsidR="00426576" w:rsidRDefault="00282CA7" w:rsidP="00F9245B">
      <w:pPr>
        <w:rPr>
          <w:rFonts w:ascii="Arial" w:hAnsi="Arial" w:cs="Arial"/>
          <w:sz w:val="24"/>
          <w:szCs w:val="24"/>
        </w:rPr>
      </w:pPr>
      <w:r>
        <w:rPr>
          <w:rFonts w:ascii="Arial" w:hAnsi="Arial" w:cs="Arial"/>
          <w:sz w:val="24"/>
          <w:szCs w:val="24"/>
        </w:rPr>
        <w:t>A N</w:t>
      </w:r>
      <w:r w:rsidR="0066634B">
        <w:rPr>
          <w:rFonts w:ascii="Arial" w:hAnsi="Arial" w:cs="Arial"/>
          <w:sz w:val="24"/>
          <w:szCs w:val="24"/>
        </w:rPr>
        <w:t>on-Molest</w:t>
      </w:r>
      <w:r w:rsidR="00D92C70">
        <w:rPr>
          <w:rFonts w:ascii="Arial" w:hAnsi="Arial" w:cs="Arial"/>
          <w:sz w:val="24"/>
          <w:szCs w:val="24"/>
        </w:rPr>
        <w:t xml:space="preserve">ation Order can be enforced either through </w:t>
      </w:r>
      <w:r>
        <w:rPr>
          <w:rFonts w:ascii="Arial" w:hAnsi="Arial" w:cs="Arial"/>
          <w:sz w:val="24"/>
          <w:szCs w:val="24"/>
        </w:rPr>
        <w:t xml:space="preserve">the criminal </w:t>
      </w:r>
      <w:r w:rsidR="00D92C70">
        <w:rPr>
          <w:rFonts w:ascii="Arial" w:hAnsi="Arial" w:cs="Arial"/>
          <w:sz w:val="24"/>
          <w:szCs w:val="24"/>
        </w:rPr>
        <w:t>or the family c</w:t>
      </w:r>
      <w:r w:rsidR="0066634B">
        <w:rPr>
          <w:rFonts w:ascii="Arial" w:hAnsi="Arial" w:cs="Arial"/>
          <w:sz w:val="24"/>
          <w:szCs w:val="24"/>
        </w:rPr>
        <w:t>ourts</w:t>
      </w:r>
      <w:r w:rsidR="00D92C70">
        <w:rPr>
          <w:rFonts w:ascii="Arial" w:hAnsi="Arial" w:cs="Arial"/>
          <w:sz w:val="24"/>
          <w:szCs w:val="24"/>
        </w:rPr>
        <w:t xml:space="preserve">. </w:t>
      </w:r>
      <w:r>
        <w:rPr>
          <w:rFonts w:ascii="Arial" w:hAnsi="Arial" w:cs="Arial"/>
          <w:sz w:val="24"/>
          <w:szCs w:val="24"/>
        </w:rPr>
        <w:t xml:space="preserve"> </w:t>
      </w:r>
      <w:r w:rsidR="00CC087C">
        <w:rPr>
          <w:rFonts w:ascii="Arial" w:hAnsi="Arial" w:cs="Arial"/>
          <w:sz w:val="24"/>
          <w:szCs w:val="24"/>
        </w:rPr>
        <w:t xml:space="preserve">If there is a </w:t>
      </w:r>
      <w:proofErr w:type="gramStart"/>
      <w:r w:rsidR="00CC087C">
        <w:rPr>
          <w:rFonts w:ascii="Arial" w:hAnsi="Arial" w:cs="Arial"/>
          <w:sz w:val="24"/>
          <w:szCs w:val="24"/>
        </w:rPr>
        <w:t>breach</w:t>
      </w:r>
      <w:proofErr w:type="gramEnd"/>
      <w:r w:rsidR="00CC087C">
        <w:rPr>
          <w:rFonts w:ascii="Arial" w:hAnsi="Arial" w:cs="Arial"/>
          <w:sz w:val="24"/>
          <w:szCs w:val="24"/>
        </w:rPr>
        <w:t xml:space="preserve"> then the punishment can include a prison sentence of up to 5 years. </w:t>
      </w:r>
    </w:p>
    <w:p w:rsidR="009B53E8" w:rsidRDefault="009B53E8" w:rsidP="00F9245B">
      <w:pPr>
        <w:rPr>
          <w:rFonts w:ascii="Arial" w:hAnsi="Arial" w:cs="Arial"/>
          <w:sz w:val="24"/>
          <w:szCs w:val="24"/>
          <w:u w:val="single"/>
        </w:rPr>
      </w:pPr>
      <w:r>
        <w:rPr>
          <w:rFonts w:ascii="Arial" w:hAnsi="Arial" w:cs="Arial"/>
          <w:sz w:val="24"/>
          <w:szCs w:val="24"/>
          <w:u w:val="single"/>
        </w:rPr>
        <w:t>Occupation Order</w:t>
      </w:r>
    </w:p>
    <w:p w:rsidR="009B53E8" w:rsidRDefault="009B53E8" w:rsidP="00F9245B">
      <w:pPr>
        <w:rPr>
          <w:rFonts w:ascii="Arial" w:hAnsi="Arial" w:cs="Arial"/>
          <w:sz w:val="24"/>
          <w:szCs w:val="24"/>
        </w:rPr>
      </w:pPr>
      <w:r>
        <w:rPr>
          <w:rFonts w:ascii="Arial" w:hAnsi="Arial" w:cs="Arial"/>
          <w:sz w:val="24"/>
          <w:szCs w:val="24"/>
        </w:rPr>
        <w:t xml:space="preserve">Another protective Order </w:t>
      </w:r>
      <w:r w:rsidR="005E24F7">
        <w:rPr>
          <w:rFonts w:ascii="Arial" w:hAnsi="Arial" w:cs="Arial"/>
          <w:sz w:val="24"/>
          <w:szCs w:val="24"/>
        </w:rPr>
        <w:t xml:space="preserve">open to “associated persons” </w:t>
      </w:r>
      <w:r>
        <w:rPr>
          <w:rFonts w:ascii="Arial" w:hAnsi="Arial" w:cs="Arial"/>
          <w:sz w:val="24"/>
          <w:szCs w:val="24"/>
        </w:rPr>
        <w:t xml:space="preserve">is an Occupation Order. The general aim of such Order is to </w:t>
      </w:r>
      <w:r w:rsidR="005E24F7">
        <w:rPr>
          <w:rFonts w:ascii="Arial" w:hAnsi="Arial" w:cs="Arial"/>
          <w:sz w:val="24"/>
          <w:szCs w:val="24"/>
        </w:rPr>
        <w:t>determine who is to live in the</w:t>
      </w:r>
      <w:r>
        <w:rPr>
          <w:rFonts w:ascii="Arial" w:hAnsi="Arial" w:cs="Arial"/>
          <w:sz w:val="24"/>
          <w:szCs w:val="24"/>
        </w:rPr>
        <w:t xml:space="preserve"> family home</w:t>
      </w:r>
      <w:r w:rsidR="005E24F7">
        <w:rPr>
          <w:rFonts w:ascii="Arial" w:hAnsi="Arial" w:cs="Arial"/>
          <w:sz w:val="24"/>
          <w:szCs w:val="24"/>
        </w:rPr>
        <w:t xml:space="preserve">. </w:t>
      </w:r>
      <w:r w:rsidR="00B0162C">
        <w:rPr>
          <w:rFonts w:ascii="Arial" w:hAnsi="Arial" w:cs="Arial"/>
          <w:sz w:val="24"/>
          <w:szCs w:val="24"/>
        </w:rPr>
        <w:t xml:space="preserve"> </w:t>
      </w:r>
      <w:r w:rsidR="005E24F7">
        <w:rPr>
          <w:rFonts w:ascii="Arial" w:hAnsi="Arial" w:cs="Arial"/>
          <w:sz w:val="24"/>
          <w:szCs w:val="24"/>
        </w:rPr>
        <w:t xml:space="preserve">Orders can also be made about the payment of rent or mortgage and deal with belongings and contents of the home. </w:t>
      </w:r>
    </w:p>
    <w:p w:rsidR="009B53E8" w:rsidRDefault="00B0162C" w:rsidP="00F9245B">
      <w:pPr>
        <w:rPr>
          <w:rFonts w:ascii="Arial" w:hAnsi="Arial" w:cs="Arial"/>
          <w:sz w:val="24"/>
          <w:szCs w:val="24"/>
        </w:rPr>
      </w:pPr>
      <w:r>
        <w:rPr>
          <w:rFonts w:ascii="Arial" w:hAnsi="Arial" w:cs="Arial"/>
          <w:sz w:val="24"/>
          <w:szCs w:val="24"/>
        </w:rPr>
        <w:t>If you are an “associated” person y</w:t>
      </w:r>
      <w:r w:rsidR="009B53E8">
        <w:rPr>
          <w:rFonts w:ascii="Arial" w:hAnsi="Arial" w:cs="Arial"/>
          <w:sz w:val="24"/>
          <w:szCs w:val="24"/>
        </w:rPr>
        <w:t>ou can apply for an Occupation Order if you: -</w:t>
      </w:r>
    </w:p>
    <w:p w:rsidR="009B53E8" w:rsidRDefault="009B53E8" w:rsidP="009B53E8">
      <w:pPr>
        <w:pStyle w:val="ListParagraph"/>
        <w:numPr>
          <w:ilvl w:val="0"/>
          <w:numId w:val="4"/>
        </w:numPr>
        <w:rPr>
          <w:rFonts w:ascii="Arial" w:hAnsi="Arial" w:cs="Arial"/>
          <w:sz w:val="24"/>
          <w:szCs w:val="24"/>
        </w:rPr>
      </w:pPr>
      <w:r>
        <w:rPr>
          <w:rFonts w:ascii="Arial" w:hAnsi="Arial" w:cs="Arial"/>
          <w:sz w:val="24"/>
          <w:szCs w:val="24"/>
        </w:rPr>
        <w:t>Have a legal or contractual right to occupy the home;</w:t>
      </w:r>
    </w:p>
    <w:p w:rsidR="009B53E8" w:rsidRDefault="009B53E8" w:rsidP="009B53E8">
      <w:pPr>
        <w:pStyle w:val="ListParagraph"/>
        <w:numPr>
          <w:ilvl w:val="0"/>
          <w:numId w:val="4"/>
        </w:numPr>
        <w:rPr>
          <w:rFonts w:ascii="Arial" w:hAnsi="Arial" w:cs="Arial"/>
          <w:sz w:val="24"/>
          <w:szCs w:val="24"/>
        </w:rPr>
      </w:pPr>
      <w:r>
        <w:rPr>
          <w:rFonts w:ascii="Arial" w:hAnsi="Arial" w:cs="Arial"/>
          <w:sz w:val="24"/>
          <w:szCs w:val="24"/>
        </w:rPr>
        <w:t>Have a beneficial interest as a former spouse or civil partner</w:t>
      </w:r>
      <w:r w:rsidR="00B0162C">
        <w:rPr>
          <w:rFonts w:ascii="Arial" w:hAnsi="Arial" w:cs="Arial"/>
          <w:sz w:val="24"/>
          <w:szCs w:val="24"/>
        </w:rPr>
        <w:t xml:space="preserve"> to occupy the home</w:t>
      </w:r>
      <w:r>
        <w:rPr>
          <w:rFonts w:ascii="Arial" w:hAnsi="Arial" w:cs="Arial"/>
          <w:sz w:val="24"/>
          <w:szCs w:val="24"/>
        </w:rPr>
        <w:t>;</w:t>
      </w:r>
    </w:p>
    <w:p w:rsidR="00B0162C" w:rsidRDefault="009B53E8" w:rsidP="009B53E8">
      <w:pPr>
        <w:pStyle w:val="ListParagraph"/>
        <w:numPr>
          <w:ilvl w:val="0"/>
          <w:numId w:val="4"/>
        </w:numPr>
        <w:rPr>
          <w:rFonts w:ascii="Arial" w:hAnsi="Arial" w:cs="Arial"/>
          <w:sz w:val="24"/>
          <w:szCs w:val="24"/>
        </w:rPr>
      </w:pPr>
      <w:r>
        <w:rPr>
          <w:rFonts w:ascii="Arial" w:hAnsi="Arial" w:cs="Arial"/>
          <w:sz w:val="24"/>
          <w:szCs w:val="24"/>
        </w:rPr>
        <w:t>Are a cohabitant or a former cohabitant with no existing right to occupy</w:t>
      </w:r>
      <w:r w:rsidR="00B0162C">
        <w:rPr>
          <w:rFonts w:ascii="Arial" w:hAnsi="Arial" w:cs="Arial"/>
          <w:sz w:val="24"/>
          <w:szCs w:val="24"/>
        </w:rPr>
        <w:t xml:space="preserve"> the home where your cohabitant or former cohabitant had a right to occupy the home;</w:t>
      </w:r>
    </w:p>
    <w:p w:rsidR="00B0162C" w:rsidRDefault="00B0162C" w:rsidP="009B53E8">
      <w:pPr>
        <w:pStyle w:val="ListParagraph"/>
        <w:numPr>
          <w:ilvl w:val="0"/>
          <w:numId w:val="4"/>
        </w:numPr>
        <w:rPr>
          <w:rFonts w:ascii="Arial" w:hAnsi="Arial" w:cs="Arial"/>
          <w:sz w:val="24"/>
          <w:szCs w:val="24"/>
        </w:rPr>
      </w:pPr>
      <w:r>
        <w:rPr>
          <w:rFonts w:ascii="Arial" w:hAnsi="Arial" w:cs="Arial"/>
          <w:sz w:val="24"/>
          <w:szCs w:val="24"/>
        </w:rPr>
        <w:t>You or your former spouse/civil partner</w:t>
      </w:r>
      <w:r w:rsidR="009B53E8">
        <w:rPr>
          <w:rFonts w:ascii="Arial" w:hAnsi="Arial" w:cs="Arial"/>
          <w:sz w:val="24"/>
          <w:szCs w:val="24"/>
        </w:rPr>
        <w:t xml:space="preserve"> </w:t>
      </w:r>
      <w:r>
        <w:rPr>
          <w:rFonts w:ascii="Arial" w:hAnsi="Arial" w:cs="Arial"/>
          <w:sz w:val="24"/>
          <w:szCs w:val="24"/>
        </w:rPr>
        <w:t>have no right to occupy the home;</w:t>
      </w:r>
    </w:p>
    <w:p w:rsidR="009B53E8" w:rsidRDefault="00B0162C" w:rsidP="009B53E8">
      <w:pPr>
        <w:pStyle w:val="ListParagraph"/>
        <w:numPr>
          <w:ilvl w:val="0"/>
          <w:numId w:val="4"/>
        </w:numPr>
        <w:rPr>
          <w:rFonts w:ascii="Arial" w:hAnsi="Arial" w:cs="Arial"/>
          <w:sz w:val="24"/>
          <w:szCs w:val="24"/>
        </w:rPr>
      </w:pPr>
      <w:r>
        <w:rPr>
          <w:rFonts w:ascii="Arial" w:hAnsi="Arial" w:cs="Arial"/>
          <w:sz w:val="24"/>
          <w:szCs w:val="24"/>
        </w:rPr>
        <w:t xml:space="preserve">You or your former cohabitant have no right to occupy the home. </w:t>
      </w:r>
    </w:p>
    <w:p w:rsidR="005E24F7" w:rsidRPr="005E24F7" w:rsidRDefault="00D92C70" w:rsidP="005E24F7">
      <w:pPr>
        <w:rPr>
          <w:rFonts w:ascii="Arial" w:hAnsi="Arial" w:cs="Arial"/>
          <w:sz w:val="24"/>
          <w:szCs w:val="24"/>
        </w:rPr>
      </w:pPr>
      <w:r>
        <w:rPr>
          <w:rFonts w:ascii="Arial" w:hAnsi="Arial" w:cs="Arial"/>
          <w:sz w:val="24"/>
          <w:szCs w:val="24"/>
        </w:rPr>
        <w:t>The legal test in</w:t>
      </w:r>
      <w:r w:rsidR="005E24F7">
        <w:rPr>
          <w:rFonts w:ascii="Arial" w:hAnsi="Arial" w:cs="Arial"/>
          <w:sz w:val="24"/>
          <w:szCs w:val="24"/>
        </w:rPr>
        <w:t xml:space="preserve"> </w:t>
      </w:r>
      <w:r>
        <w:rPr>
          <w:rFonts w:ascii="Arial" w:hAnsi="Arial" w:cs="Arial"/>
          <w:sz w:val="24"/>
          <w:szCs w:val="24"/>
        </w:rPr>
        <w:t xml:space="preserve">Occupation Order applications is </w:t>
      </w:r>
      <w:r w:rsidR="005E24F7">
        <w:rPr>
          <w:rFonts w:ascii="Arial" w:hAnsi="Arial" w:cs="Arial"/>
          <w:sz w:val="24"/>
          <w:szCs w:val="24"/>
        </w:rPr>
        <w:t xml:space="preserve">much more difficult to prove than </w:t>
      </w:r>
      <w:r>
        <w:rPr>
          <w:rFonts w:ascii="Arial" w:hAnsi="Arial" w:cs="Arial"/>
          <w:sz w:val="24"/>
          <w:szCs w:val="24"/>
        </w:rPr>
        <w:t xml:space="preserve">the test in </w:t>
      </w:r>
      <w:r w:rsidR="005E24F7">
        <w:rPr>
          <w:rFonts w:ascii="Arial" w:hAnsi="Arial" w:cs="Arial"/>
          <w:sz w:val="24"/>
          <w:szCs w:val="24"/>
        </w:rPr>
        <w:t xml:space="preserve">Non-Molestation Order </w:t>
      </w:r>
      <w:r>
        <w:rPr>
          <w:rFonts w:ascii="Arial" w:hAnsi="Arial" w:cs="Arial"/>
          <w:sz w:val="24"/>
          <w:szCs w:val="24"/>
        </w:rPr>
        <w:t xml:space="preserve">applications </w:t>
      </w:r>
      <w:r w:rsidR="005E24F7">
        <w:rPr>
          <w:rFonts w:ascii="Arial" w:hAnsi="Arial" w:cs="Arial"/>
          <w:sz w:val="24"/>
          <w:szCs w:val="24"/>
        </w:rPr>
        <w:t xml:space="preserve">because </w:t>
      </w:r>
      <w:r>
        <w:rPr>
          <w:rFonts w:ascii="Arial" w:hAnsi="Arial" w:cs="Arial"/>
          <w:sz w:val="24"/>
          <w:szCs w:val="24"/>
        </w:rPr>
        <w:t xml:space="preserve">you are asking </w:t>
      </w:r>
      <w:r w:rsidR="005E24F7">
        <w:rPr>
          <w:rFonts w:ascii="Arial" w:hAnsi="Arial" w:cs="Arial"/>
          <w:sz w:val="24"/>
          <w:szCs w:val="24"/>
        </w:rPr>
        <w:t xml:space="preserve">the Court to restrict a person’s right to occupy their own home and </w:t>
      </w:r>
      <w:proofErr w:type="gramStart"/>
      <w:r>
        <w:rPr>
          <w:rFonts w:ascii="Arial" w:hAnsi="Arial" w:cs="Arial"/>
          <w:sz w:val="24"/>
          <w:szCs w:val="24"/>
        </w:rPr>
        <w:t>as a consequence</w:t>
      </w:r>
      <w:proofErr w:type="gramEnd"/>
      <w:r>
        <w:rPr>
          <w:rFonts w:ascii="Arial" w:hAnsi="Arial" w:cs="Arial"/>
          <w:sz w:val="24"/>
          <w:szCs w:val="24"/>
        </w:rPr>
        <w:t xml:space="preserve"> such Orders </w:t>
      </w:r>
      <w:r w:rsidR="005E24F7">
        <w:rPr>
          <w:rFonts w:ascii="Arial" w:hAnsi="Arial" w:cs="Arial"/>
          <w:sz w:val="24"/>
          <w:szCs w:val="24"/>
        </w:rPr>
        <w:t xml:space="preserve">should only be made in exceptional circumstances. </w:t>
      </w:r>
    </w:p>
    <w:p w:rsidR="00EA128E" w:rsidRDefault="00B0162C" w:rsidP="00B0162C">
      <w:pPr>
        <w:rPr>
          <w:rFonts w:ascii="Arial" w:hAnsi="Arial" w:cs="Arial"/>
          <w:sz w:val="24"/>
          <w:szCs w:val="24"/>
        </w:rPr>
      </w:pPr>
      <w:r>
        <w:rPr>
          <w:rFonts w:ascii="Arial" w:hAnsi="Arial" w:cs="Arial"/>
          <w:sz w:val="24"/>
          <w:szCs w:val="24"/>
        </w:rPr>
        <w:t>When considering an application</w:t>
      </w:r>
      <w:r w:rsidR="00D92C70">
        <w:rPr>
          <w:rFonts w:ascii="Arial" w:hAnsi="Arial" w:cs="Arial"/>
          <w:sz w:val="24"/>
          <w:szCs w:val="24"/>
        </w:rPr>
        <w:t xml:space="preserve"> for an Occupation Order</w:t>
      </w:r>
      <w:r>
        <w:rPr>
          <w:rFonts w:ascii="Arial" w:hAnsi="Arial" w:cs="Arial"/>
          <w:sz w:val="24"/>
          <w:szCs w:val="24"/>
        </w:rPr>
        <w:t>, the Court will consider the “balance of harm” test</w:t>
      </w:r>
      <w:r w:rsidR="00EA128E">
        <w:rPr>
          <w:rFonts w:ascii="Arial" w:hAnsi="Arial" w:cs="Arial"/>
          <w:sz w:val="24"/>
          <w:szCs w:val="24"/>
        </w:rPr>
        <w:t xml:space="preserve">. </w:t>
      </w:r>
      <w:r w:rsidR="00EA128E" w:rsidRPr="00CC087C">
        <w:rPr>
          <w:rFonts w:ascii="Arial" w:hAnsi="Arial" w:cs="Arial"/>
          <w:sz w:val="24"/>
          <w:szCs w:val="24"/>
        </w:rPr>
        <w:t xml:space="preserve">This is when the Court </w:t>
      </w:r>
      <w:r w:rsidR="005E24F7" w:rsidRPr="00CC087C">
        <w:rPr>
          <w:rFonts w:ascii="Arial" w:hAnsi="Arial" w:cs="Arial"/>
          <w:sz w:val="24"/>
          <w:szCs w:val="24"/>
        </w:rPr>
        <w:t>weighs</w:t>
      </w:r>
      <w:r w:rsidR="00EA128E" w:rsidRPr="00CC087C">
        <w:rPr>
          <w:rFonts w:ascii="Arial" w:hAnsi="Arial" w:cs="Arial"/>
          <w:sz w:val="24"/>
          <w:szCs w:val="24"/>
        </w:rPr>
        <w:t xml:space="preserve"> up </w:t>
      </w:r>
      <w:bookmarkStart w:id="0" w:name="_GoBack"/>
      <w:bookmarkEnd w:id="0"/>
      <w:r w:rsidR="00CC087C" w:rsidRPr="00CC087C">
        <w:rPr>
          <w:rFonts w:ascii="Arial" w:hAnsi="Arial" w:cs="Arial"/>
          <w:color w:val="000000"/>
          <w:sz w:val="24"/>
          <w:szCs w:val="24"/>
        </w:rPr>
        <w:t>the harm caused to the applicant, respondent and any relevant children if the order were or were not to be made.</w:t>
      </w:r>
      <w:r w:rsidR="00CC087C">
        <w:rPr>
          <w:rFonts w:ascii="Verdana" w:hAnsi="Verdana"/>
          <w:color w:val="000000"/>
          <w:sz w:val="20"/>
          <w:szCs w:val="20"/>
        </w:rPr>
        <w:t xml:space="preserve"> </w:t>
      </w:r>
    </w:p>
    <w:p w:rsidR="00CD38D2" w:rsidRDefault="009329A4" w:rsidP="00CD38D2">
      <w:pPr>
        <w:rPr>
          <w:rFonts w:ascii="Arial" w:hAnsi="Arial" w:cs="Arial"/>
          <w:sz w:val="24"/>
          <w:szCs w:val="24"/>
        </w:rPr>
      </w:pPr>
      <w:r w:rsidRPr="00CD38D2">
        <w:rPr>
          <w:rFonts w:ascii="Arial" w:hAnsi="Arial" w:cs="Arial"/>
          <w:sz w:val="24"/>
          <w:szCs w:val="24"/>
        </w:rPr>
        <w:lastRenderedPageBreak/>
        <w:t xml:space="preserve">When </w:t>
      </w:r>
      <w:r w:rsidR="005E24F7">
        <w:rPr>
          <w:rFonts w:ascii="Arial" w:hAnsi="Arial" w:cs="Arial"/>
          <w:sz w:val="24"/>
          <w:szCs w:val="24"/>
        </w:rPr>
        <w:t>filing</w:t>
      </w:r>
      <w:r w:rsidRPr="00CD38D2">
        <w:rPr>
          <w:rFonts w:ascii="Arial" w:hAnsi="Arial" w:cs="Arial"/>
          <w:sz w:val="24"/>
          <w:szCs w:val="24"/>
        </w:rPr>
        <w:t xml:space="preserve"> an</w:t>
      </w:r>
      <w:r w:rsidR="005E24F7">
        <w:rPr>
          <w:rFonts w:ascii="Arial" w:hAnsi="Arial" w:cs="Arial"/>
          <w:sz w:val="24"/>
          <w:szCs w:val="24"/>
        </w:rPr>
        <w:t xml:space="preserve"> application with</w:t>
      </w:r>
      <w:r w:rsidRPr="00CD38D2">
        <w:rPr>
          <w:rFonts w:ascii="Arial" w:hAnsi="Arial" w:cs="Arial"/>
          <w:sz w:val="24"/>
          <w:szCs w:val="24"/>
        </w:rPr>
        <w:t xml:space="preserve"> the Court for an Occupation Order, you will also be expected to file a Witness Statement</w:t>
      </w:r>
      <w:r w:rsidR="00CD38D2" w:rsidRPr="00CD38D2">
        <w:rPr>
          <w:rFonts w:ascii="Arial" w:hAnsi="Arial" w:cs="Arial"/>
          <w:sz w:val="24"/>
          <w:szCs w:val="24"/>
        </w:rPr>
        <w:t xml:space="preserve"> in which you will </w:t>
      </w:r>
      <w:r w:rsidR="005E24F7">
        <w:rPr>
          <w:rFonts w:ascii="Arial" w:hAnsi="Arial" w:cs="Arial"/>
          <w:sz w:val="24"/>
          <w:szCs w:val="24"/>
        </w:rPr>
        <w:t>have</w:t>
      </w:r>
      <w:r w:rsidR="00CD38D2" w:rsidRPr="00CD38D2">
        <w:rPr>
          <w:rFonts w:ascii="Arial" w:hAnsi="Arial" w:cs="Arial"/>
          <w:sz w:val="24"/>
          <w:szCs w:val="24"/>
        </w:rPr>
        <w:t xml:space="preserve"> to put your case, to include</w:t>
      </w:r>
      <w:r w:rsidR="00CD38D2">
        <w:rPr>
          <w:rFonts w:ascii="Arial" w:hAnsi="Arial" w:cs="Arial"/>
          <w:sz w:val="24"/>
          <w:szCs w:val="24"/>
        </w:rPr>
        <w:t xml:space="preserve">: - </w:t>
      </w:r>
      <w:r w:rsidR="00CD38D2" w:rsidRPr="00CD38D2">
        <w:rPr>
          <w:rFonts w:ascii="Arial" w:hAnsi="Arial" w:cs="Arial"/>
          <w:sz w:val="24"/>
          <w:szCs w:val="24"/>
        </w:rPr>
        <w:t xml:space="preserve"> </w:t>
      </w:r>
    </w:p>
    <w:p w:rsidR="00CD38D2" w:rsidRPr="00CD38D2" w:rsidRDefault="00CD38D2" w:rsidP="00CD38D2">
      <w:pPr>
        <w:pStyle w:val="ListParagraph"/>
        <w:numPr>
          <w:ilvl w:val="0"/>
          <w:numId w:val="6"/>
        </w:numPr>
        <w:rPr>
          <w:rFonts w:ascii="Arial" w:hAnsi="Arial" w:cs="Arial"/>
          <w:sz w:val="24"/>
          <w:szCs w:val="24"/>
        </w:rPr>
      </w:pPr>
      <w:r w:rsidRPr="00CD38D2">
        <w:rPr>
          <w:rFonts w:ascii="Arial" w:hAnsi="Arial" w:cs="Arial"/>
          <w:sz w:val="24"/>
          <w:szCs w:val="24"/>
        </w:rPr>
        <w:t xml:space="preserve">The housing needs and housing resources of each of the parties and of any relevant child; </w:t>
      </w:r>
    </w:p>
    <w:p w:rsidR="00CD38D2" w:rsidRDefault="00CD38D2" w:rsidP="00CD38D2">
      <w:pPr>
        <w:pStyle w:val="ListParagraph"/>
        <w:numPr>
          <w:ilvl w:val="0"/>
          <w:numId w:val="5"/>
        </w:numPr>
        <w:rPr>
          <w:rFonts w:ascii="Arial" w:hAnsi="Arial" w:cs="Arial"/>
          <w:sz w:val="24"/>
          <w:szCs w:val="24"/>
        </w:rPr>
      </w:pPr>
      <w:r>
        <w:rPr>
          <w:rFonts w:ascii="Arial" w:hAnsi="Arial" w:cs="Arial"/>
          <w:sz w:val="24"/>
          <w:szCs w:val="24"/>
        </w:rPr>
        <w:t xml:space="preserve">The financial resources of each of the parties; </w:t>
      </w:r>
    </w:p>
    <w:p w:rsidR="00CD38D2" w:rsidRDefault="00CD38D2" w:rsidP="00CD38D2">
      <w:pPr>
        <w:pStyle w:val="ListParagraph"/>
        <w:numPr>
          <w:ilvl w:val="0"/>
          <w:numId w:val="5"/>
        </w:numPr>
        <w:rPr>
          <w:rFonts w:ascii="Arial" w:hAnsi="Arial" w:cs="Arial"/>
          <w:sz w:val="24"/>
          <w:szCs w:val="24"/>
        </w:rPr>
      </w:pPr>
      <w:r>
        <w:rPr>
          <w:rFonts w:ascii="Arial" w:hAnsi="Arial" w:cs="Arial"/>
          <w:sz w:val="24"/>
          <w:szCs w:val="24"/>
        </w:rPr>
        <w:t xml:space="preserve">The likely effect of any Order, or of any decision by the Court not to exercise its powers, on the health, safety or well-being of the parties and of any relevant child; and </w:t>
      </w:r>
    </w:p>
    <w:p w:rsidR="009329A4" w:rsidRPr="00CD38D2" w:rsidRDefault="00CD38D2" w:rsidP="009329A4">
      <w:pPr>
        <w:pStyle w:val="ListParagraph"/>
        <w:numPr>
          <w:ilvl w:val="0"/>
          <w:numId w:val="5"/>
        </w:numPr>
        <w:rPr>
          <w:rFonts w:ascii="Arial" w:hAnsi="Arial" w:cs="Arial"/>
          <w:sz w:val="24"/>
          <w:szCs w:val="24"/>
        </w:rPr>
      </w:pPr>
      <w:r>
        <w:rPr>
          <w:rFonts w:ascii="Arial" w:hAnsi="Arial" w:cs="Arial"/>
          <w:sz w:val="24"/>
          <w:szCs w:val="24"/>
        </w:rPr>
        <w:t xml:space="preserve">The conduct of the parties in relation to each other and otherwise. </w:t>
      </w:r>
    </w:p>
    <w:p w:rsidR="009329A4" w:rsidRPr="00CD38D2" w:rsidRDefault="009329A4" w:rsidP="00CD38D2">
      <w:pPr>
        <w:rPr>
          <w:rFonts w:ascii="Arial" w:hAnsi="Arial" w:cs="Arial"/>
          <w:sz w:val="24"/>
          <w:szCs w:val="24"/>
        </w:rPr>
      </w:pPr>
      <w:r w:rsidRPr="00CD38D2">
        <w:rPr>
          <w:rFonts w:ascii="Arial" w:hAnsi="Arial" w:cs="Arial"/>
          <w:sz w:val="24"/>
          <w:szCs w:val="24"/>
        </w:rPr>
        <w:t xml:space="preserve">On the “return date” hearing, the Court may either make the order or, if such application is contested, set a date for a Final Hearing. </w:t>
      </w:r>
      <w:r w:rsidR="00C618AC">
        <w:rPr>
          <w:rFonts w:ascii="Arial" w:hAnsi="Arial" w:cs="Arial"/>
          <w:sz w:val="24"/>
          <w:szCs w:val="24"/>
        </w:rPr>
        <w:t>It is possible for a</w:t>
      </w:r>
      <w:r w:rsidRPr="00CD38D2">
        <w:rPr>
          <w:rFonts w:ascii="Arial" w:hAnsi="Arial" w:cs="Arial"/>
          <w:sz w:val="24"/>
          <w:szCs w:val="24"/>
        </w:rPr>
        <w:t xml:space="preserve"> Respondent </w:t>
      </w:r>
      <w:r w:rsidR="00C618AC">
        <w:rPr>
          <w:rFonts w:ascii="Arial" w:hAnsi="Arial" w:cs="Arial"/>
          <w:sz w:val="24"/>
          <w:szCs w:val="24"/>
        </w:rPr>
        <w:t>to</w:t>
      </w:r>
      <w:r w:rsidRPr="00CD38D2">
        <w:rPr>
          <w:rFonts w:ascii="Arial" w:hAnsi="Arial" w:cs="Arial"/>
          <w:sz w:val="24"/>
          <w:szCs w:val="24"/>
        </w:rPr>
        <w:t xml:space="preserve"> agree to an Order remaining in place, even if he does not admit any of the allegations made, </w:t>
      </w:r>
      <w:proofErr w:type="gramStart"/>
      <w:r w:rsidRPr="00CD38D2">
        <w:rPr>
          <w:rFonts w:ascii="Arial" w:hAnsi="Arial" w:cs="Arial"/>
          <w:sz w:val="24"/>
          <w:szCs w:val="24"/>
        </w:rPr>
        <w:t>in order to</w:t>
      </w:r>
      <w:proofErr w:type="gramEnd"/>
      <w:r w:rsidRPr="00CD38D2">
        <w:rPr>
          <w:rFonts w:ascii="Arial" w:hAnsi="Arial" w:cs="Arial"/>
          <w:sz w:val="24"/>
          <w:szCs w:val="24"/>
        </w:rPr>
        <w:t xml:space="preserve"> bring matters to a conclusion without the </w:t>
      </w:r>
      <w:r w:rsidR="00CD38D2">
        <w:rPr>
          <w:rFonts w:ascii="Arial" w:hAnsi="Arial" w:cs="Arial"/>
          <w:sz w:val="24"/>
          <w:szCs w:val="24"/>
        </w:rPr>
        <w:t>need to give oral examination</w:t>
      </w:r>
      <w:r w:rsidR="00C618AC">
        <w:rPr>
          <w:rFonts w:ascii="Arial" w:hAnsi="Arial" w:cs="Arial"/>
          <w:sz w:val="24"/>
          <w:szCs w:val="24"/>
        </w:rPr>
        <w:t>,</w:t>
      </w:r>
      <w:r w:rsidR="00CD38D2">
        <w:rPr>
          <w:rFonts w:ascii="Arial" w:hAnsi="Arial" w:cs="Arial"/>
          <w:sz w:val="24"/>
          <w:szCs w:val="24"/>
        </w:rPr>
        <w:t xml:space="preserve"> if by such date the</w:t>
      </w:r>
      <w:r w:rsidR="00C618AC">
        <w:rPr>
          <w:rFonts w:ascii="Arial" w:hAnsi="Arial" w:cs="Arial"/>
          <w:sz w:val="24"/>
          <w:szCs w:val="24"/>
        </w:rPr>
        <w:t xml:space="preserve"> Respondent</w:t>
      </w:r>
      <w:r w:rsidR="00CD38D2">
        <w:rPr>
          <w:rFonts w:ascii="Arial" w:hAnsi="Arial" w:cs="Arial"/>
          <w:sz w:val="24"/>
          <w:szCs w:val="24"/>
        </w:rPr>
        <w:t xml:space="preserve"> ha</w:t>
      </w:r>
      <w:r w:rsidR="00C618AC">
        <w:rPr>
          <w:rFonts w:ascii="Arial" w:hAnsi="Arial" w:cs="Arial"/>
          <w:sz w:val="24"/>
          <w:szCs w:val="24"/>
        </w:rPr>
        <w:t>s</w:t>
      </w:r>
      <w:r w:rsidR="00CD38D2">
        <w:rPr>
          <w:rFonts w:ascii="Arial" w:hAnsi="Arial" w:cs="Arial"/>
          <w:sz w:val="24"/>
          <w:szCs w:val="24"/>
        </w:rPr>
        <w:t xml:space="preserve"> been able to find </w:t>
      </w:r>
      <w:r w:rsidR="00C618AC">
        <w:rPr>
          <w:rFonts w:ascii="Arial" w:hAnsi="Arial" w:cs="Arial"/>
          <w:sz w:val="24"/>
          <w:szCs w:val="24"/>
        </w:rPr>
        <w:t>alternative</w:t>
      </w:r>
      <w:r w:rsidR="00CD38D2">
        <w:rPr>
          <w:rFonts w:ascii="Arial" w:hAnsi="Arial" w:cs="Arial"/>
          <w:sz w:val="24"/>
          <w:szCs w:val="24"/>
        </w:rPr>
        <w:t xml:space="preserve"> housing arrangements. </w:t>
      </w:r>
      <w:r w:rsidRPr="00CD38D2">
        <w:rPr>
          <w:rFonts w:ascii="Arial" w:hAnsi="Arial" w:cs="Arial"/>
          <w:sz w:val="24"/>
          <w:szCs w:val="24"/>
        </w:rPr>
        <w:t xml:space="preserve"> </w:t>
      </w:r>
    </w:p>
    <w:p w:rsidR="00EA128E" w:rsidRDefault="00EA128E" w:rsidP="00EA128E">
      <w:pPr>
        <w:rPr>
          <w:rFonts w:ascii="Arial" w:hAnsi="Arial" w:cs="Arial"/>
          <w:sz w:val="24"/>
          <w:szCs w:val="24"/>
        </w:rPr>
      </w:pPr>
      <w:r w:rsidRPr="00EA128E">
        <w:rPr>
          <w:rFonts w:ascii="Arial" w:hAnsi="Arial" w:cs="Arial"/>
          <w:sz w:val="24"/>
          <w:szCs w:val="24"/>
        </w:rPr>
        <w:t xml:space="preserve">If an Order is made, it will be for a specified </w:t>
      </w:r>
      <w:r w:rsidR="00D05EB2" w:rsidRPr="00EA128E">
        <w:rPr>
          <w:rFonts w:ascii="Arial" w:hAnsi="Arial" w:cs="Arial"/>
          <w:sz w:val="24"/>
          <w:szCs w:val="24"/>
        </w:rPr>
        <w:t>period</w:t>
      </w:r>
      <w:r w:rsidRPr="00EA128E">
        <w:rPr>
          <w:rFonts w:ascii="Arial" w:hAnsi="Arial" w:cs="Arial"/>
          <w:sz w:val="24"/>
          <w:szCs w:val="24"/>
        </w:rPr>
        <w:t xml:space="preserve"> </w:t>
      </w:r>
      <w:r>
        <w:rPr>
          <w:rFonts w:ascii="Arial" w:hAnsi="Arial" w:cs="Arial"/>
          <w:sz w:val="24"/>
          <w:szCs w:val="24"/>
        </w:rPr>
        <w:t xml:space="preserve">(usually 6 months) </w:t>
      </w:r>
      <w:r w:rsidRPr="00EA128E">
        <w:rPr>
          <w:rFonts w:ascii="Arial" w:hAnsi="Arial" w:cs="Arial"/>
          <w:sz w:val="24"/>
          <w:szCs w:val="24"/>
        </w:rPr>
        <w:t xml:space="preserve">or until further order. </w:t>
      </w:r>
      <w:r>
        <w:rPr>
          <w:rFonts w:ascii="Arial" w:hAnsi="Arial" w:cs="Arial"/>
          <w:sz w:val="24"/>
          <w:szCs w:val="24"/>
        </w:rPr>
        <w:t xml:space="preserve">In practice, </w:t>
      </w:r>
      <w:r w:rsidR="00C618AC">
        <w:rPr>
          <w:rFonts w:ascii="Arial" w:hAnsi="Arial" w:cs="Arial"/>
          <w:sz w:val="24"/>
          <w:szCs w:val="24"/>
        </w:rPr>
        <w:t>Occupation O</w:t>
      </w:r>
      <w:r>
        <w:rPr>
          <w:rFonts w:ascii="Arial" w:hAnsi="Arial" w:cs="Arial"/>
          <w:sz w:val="24"/>
          <w:szCs w:val="24"/>
        </w:rPr>
        <w:t xml:space="preserve">rders tend to be for </w:t>
      </w:r>
      <w:r w:rsidR="00D05EB2">
        <w:rPr>
          <w:rFonts w:ascii="Arial" w:hAnsi="Arial" w:cs="Arial"/>
          <w:sz w:val="24"/>
          <w:szCs w:val="24"/>
        </w:rPr>
        <w:t>short</w:t>
      </w:r>
      <w:r>
        <w:rPr>
          <w:rFonts w:ascii="Arial" w:hAnsi="Arial" w:cs="Arial"/>
          <w:sz w:val="24"/>
          <w:szCs w:val="24"/>
        </w:rPr>
        <w:t xml:space="preserve"> periods as a way of allowing the parties</w:t>
      </w:r>
      <w:r w:rsidR="00C618AC">
        <w:rPr>
          <w:rFonts w:ascii="Arial" w:hAnsi="Arial" w:cs="Arial"/>
          <w:sz w:val="24"/>
          <w:szCs w:val="24"/>
        </w:rPr>
        <w:t xml:space="preserve"> time</w:t>
      </w:r>
      <w:r>
        <w:rPr>
          <w:rFonts w:ascii="Arial" w:hAnsi="Arial" w:cs="Arial"/>
          <w:sz w:val="24"/>
          <w:szCs w:val="24"/>
        </w:rPr>
        <w:t xml:space="preserve"> to find new housing arrangements. </w:t>
      </w:r>
      <w:r w:rsidR="00D05EB2">
        <w:rPr>
          <w:rFonts w:ascii="Arial" w:hAnsi="Arial" w:cs="Arial"/>
          <w:sz w:val="24"/>
          <w:szCs w:val="24"/>
        </w:rPr>
        <w:t xml:space="preserve">An Order can be extended by the </w:t>
      </w:r>
      <w:r w:rsidR="00C618AC">
        <w:rPr>
          <w:rFonts w:ascii="Arial" w:hAnsi="Arial" w:cs="Arial"/>
          <w:sz w:val="24"/>
          <w:szCs w:val="24"/>
        </w:rPr>
        <w:t xml:space="preserve">Court in certain circumstances but </w:t>
      </w:r>
      <w:r w:rsidR="00D05EB2">
        <w:rPr>
          <w:rFonts w:ascii="Arial" w:hAnsi="Arial" w:cs="Arial"/>
          <w:sz w:val="24"/>
          <w:szCs w:val="24"/>
        </w:rPr>
        <w:t xml:space="preserve">for no more than </w:t>
      </w:r>
      <w:r w:rsidR="00C618AC">
        <w:rPr>
          <w:rFonts w:ascii="Arial" w:hAnsi="Arial" w:cs="Arial"/>
          <w:sz w:val="24"/>
          <w:szCs w:val="24"/>
        </w:rPr>
        <w:t xml:space="preserve">a </w:t>
      </w:r>
      <w:proofErr w:type="gramStart"/>
      <w:r w:rsidR="00D05EB2">
        <w:rPr>
          <w:rFonts w:ascii="Arial" w:hAnsi="Arial" w:cs="Arial"/>
          <w:sz w:val="24"/>
          <w:szCs w:val="24"/>
        </w:rPr>
        <w:t>6 month</w:t>
      </w:r>
      <w:proofErr w:type="gramEnd"/>
      <w:r w:rsidR="00C618AC">
        <w:rPr>
          <w:rFonts w:ascii="Arial" w:hAnsi="Arial" w:cs="Arial"/>
          <w:sz w:val="24"/>
          <w:szCs w:val="24"/>
        </w:rPr>
        <w:t xml:space="preserve"> period</w:t>
      </w:r>
      <w:r w:rsidR="00D05EB2">
        <w:rPr>
          <w:rFonts w:ascii="Arial" w:hAnsi="Arial" w:cs="Arial"/>
          <w:sz w:val="24"/>
          <w:szCs w:val="24"/>
        </w:rPr>
        <w:t xml:space="preserve"> at a</w:t>
      </w:r>
      <w:r w:rsidR="00C618AC">
        <w:rPr>
          <w:rFonts w:ascii="Arial" w:hAnsi="Arial" w:cs="Arial"/>
          <w:sz w:val="24"/>
          <w:szCs w:val="24"/>
        </w:rPr>
        <w:t>ny one</w:t>
      </w:r>
      <w:r w:rsidR="00D05EB2">
        <w:rPr>
          <w:rFonts w:ascii="Arial" w:hAnsi="Arial" w:cs="Arial"/>
          <w:sz w:val="24"/>
          <w:szCs w:val="24"/>
        </w:rPr>
        <w:t xml:space="preserve"> time. </w:t>
      </w:r>
    </w:p>
    <w:p w:rsidR="00C618AC" w:rsidRDefault="00282CA7" w:rsidP="00EA128E">
      <w:pPr>
        <w:rPr>
          <w:rFonts w:ascii="Arial" w:hAnsi="Arial" w:cs="Arial"/>
          <w:sz w:val="24"/>
          <w:szCs w:val="24"/>
        </w:rPr>
      </w:pPr>
      <w:r>
        <w:rPr>
          <w:rFonts w:ascii="Arial" w:hAnsi="Arial" w:cs="Arial"/>
          <w:sz w:val="24"/>
          <w:szCs w:val="24"/>
        </w:rPr>
        <w:t xml:space="preserve">Occupation Orders can still have a power of arrest attached to them allowing the police to arrest for a breach of the order. </w:t>
      </w:r>
      <w:r w:rsidR="009329A4">
        <w:rPr>
          <w:rFonts w:ascii="Arial" w:hAnsi="Arial" w:cs="Arial"/>
          <w:sz w:val="24"/>
          <w:szCs w:val="24"/>
        </w:rPr>
        <w:t>However, many prefer to keep matters out of the criminal Courts and will therefore apply to the Family Court for a</w:t>
      </w:r>
      <w:r>
        <w:rPr>
          <w:rFonts w:ascii="Arial" w:hAnsi="Arial" w:cs="Arial"/>
          <w:sz w:val="24"/>
          <w:szCs w:val="24"/>
        </w:rPr>
        <w:t xml:space="preserve"> breach of an Occupation Order</w:t>
      </w:r>
      <w:r w:rsidR="009329A4">
        <w:rPr>
          <w:rFonts w:ascii="Arial" w:hAnsi="Arial" w:cs="Arial"/>
          <w:sz w:val="24"/>
          <w:szCs w:val="24"/>
        </w:rPr>
        <w:t xml:space="preserve"> instead as any breach of an Order</w:t>
      </w:r>
      <w:r>
        <w:rPr>
          <w:rFonts w:ascii="Arial" w:hAnsi="Arial" w:cs="Arial"/>
          <w:sz w:val="24"/>
          <w:szCs w:val="24"/>
        </w:rPr>
        <w:t xml:space="preserve"> is a contempt of Court that is punishable by a fine or imprisonment. </w:t>
      </w:r>
    </w:p>
    <w:p w:rsidR="00C618AC" w:rsidRDefault="00C618AC" w:rsidP="00EA128E">
      <w:pPr>
        <w:rPr>
          <w:rFonts w:ascii="Arial" w:hAnsi="Arial" w:cs="Arial"/>
          <w:sz w:val="24"/>
          <w:szCs w:val="24"/>
          <w:u w:val="single"/>
        </w:rPr>
      </w:pPr>
      <w:r>
        <w:rPr>
          <w:rFonts w:ascii="Arial" w:hAnsi="Arial" w:cs="Arial"/>
          <w:sz w:val="24"/>
          <w:szCs w:val="24"/>
          <w:u w:val="single"/>
        </w:rPr>
        <w:t>Further Help and Information</w:t>
      </w:r>
    </w:p>
    <w:p w:rsidR="00C618AC" w:rsidRDefault="00C618AC" w:rsidP="00EA128E">
      <w:pPr>
        <w:rPr>
          <w:rFonts w:ascii="Arial" w:hAnsi="Arial" w:cs="Arial"/>
          <w:sz w:val="24"/>
          <w:szCs w:val="24"/>
        </w:rPr>
      </w:pPr>
      <w:r>
        <w:rPr>
          <w:rFonts w:ascii="Arial" w:hAnsi="Arial" w:cs="Arial"/>
          <w:sz w:val="24"/>
          <w:szCs w:val="24"/>
        </w:rPr>
        <w:t>If you require any additional support, you may find the following website a useful tool</w:t>
      </w:r>
    </w:p>
    <w:p w:rsidR="00C618AC" w:rsidRDefault="00CC087C" w:rsidP="00EA128E">
      <w:pPr>
        <w:rPr>
          <w:rFonts w:ascii="Arial" w:hAnsi="Arial" w:cs="Arial"/>
          <w:sz w:val="24"/>
          <w:szCs w:val="24"/>
        </w:rPr>
      </w:pPr>
      <w:hyperlink r:id="rId5" w:history="1">
        <w:r w:rsidR="00C618AC" w:rsidRPr="00A82DA9">
          <w:rPr>
            <w:rStyle w:val="Hyperlink"/>
            <w:rFonts w:ascii="Arial" w:hAnsi="Arial" w:cs="Arial"/>
            <w:sz w:val="24"/>
            <w:szCs w:val="24"/>
          </w:rPr>
          <w:t>https://safercornwall.co.uk/what-we-do/dasv-hub/</w:t>
        </w:r>
      </w:hyperlink>
    </w:p>
    <w:p w:rsidR="00C618AC" w:rsidRDefault="00C618AC" w:rsidP="00EA128E">
      <w:pPr>
        <w:rPr>
          <w:rFonts w:ascii="Arial" w:hAnsi="Arial" w:cs="Arial"/>
          <w:sz w:val="24"/>
          <w:szCs w:val="24"/>
        </w:rPr>
      </w:pPr>
    </w:p>
    <w:p w:rsidR="00C618AC" w:rsidRDefault="00C618AC" w:rsidP="00EA128E">
      <w:pPr>
        <w:rPr>
          <w:rFonts w:ascii="Arial" w:hAnsi="Arial" w:cs="Arial"/>
          <w:sz w:val="24"/>
          <w:szCs w:val="24"/>
        </w:rPr>
      </w:pPr>
    </w:p>
    <w:p w:rsidR="00C618AC" w:rsidRPr="00C618AC" w:rsidRDefault="00C618AC" w:rsidP="00EA128E">
      <w:pPr>
        <w:rPr>
          <w:rFonts w:ascii="Arial" w:hAnsi="Arial" w:cs="Arial"/>
          <w:sz w:val="24"/>
          <w:szCs w:val="24"/>
        </w:rPr>
      </w:pPr>
    </w:p>
    <w:p w:rsidR="00153E99" w:rsidRDefault="00CC087C"/>
    <w:sectPr w:rsidR="00153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143D"/>
    <w:multiLevelType w:val="hybridMultilevel"/>
    <w:tmpl w:val="3E18A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27FA4"/>
    <w:multiLevelType w:val="hybridMultilevel"/>
    <w:tmpl w:val="F4C0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B434B"/>
    <w:multiLevelType w:val="hybridMultilevel"/>
    <w:tmpl w:val="8702D7E2"/>
    <w:lvl w:ilvl="0" w:tplc="45DA42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8609C1"/>
    <w:multiLevelType w:val="hybridMultilevel"/>
    <w:tmpl w:val="683E83A2"/>
    <w:lvl w:ilvl="0" w:tplc="C7FA4E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166AA2"/>
    <w:multiLevelType w:val="hybridMultilevel"/>
    <w:tmpl w:val="268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F4C93"/>
    <w:multiLevelType w:val="hybridMultilevel"/>
    <w:tmpl w:val="F3C673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D8C456E"/>
    <w:multiLevelType w:val="hybridMultilevel"/>
    <w:tmpl w:val="9B4E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DC"/>
    <w:rsid w:val="00266489"/>
    <w:rsid w:val="00282CA7"/>
    <w:rsid w:val="00426576"/>
    <w:rsid w:val="005E24F7"/>
    <w:rsid w:val="0066634B"/>
    <w:rsid w:val="006906FE"/>
    <w:rsid w:val="008862F6"/>
    <w:rsid w:val="009245E9"/>
    <w:rsid w:val="009329A4"/>
    <w:rsid w:val="009B53E8"/>
    <w:rsid w:val="00B0162C"/>
    <w:rsid w:val="00C618AC"/>
    <w:rsid w:val="00CC087C"/>
    <w:rsid w:val="00CD38D2"/>
    <w:rsid w:val="00D05EB2"/>
    <w:rsid w:val="00D92C70"/>
    <w:rsid w:val="00DE20EC"/>
    <w:rsid w:val="00E060B4"/>
    <w:rsid w:val="00E560DC"/>
    <w:rsid w:val="00EA128E"/>
    <w:rsid w:val="00F92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3E24"/>
  <w15:chartTrackingRefBased/>
  <w15:docId w15:val="{6C5DC095-07B0-40B7-81B9-0B233DEB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0DC"/>
    <w:pPr>
      <w:ind w:left="720"/>
      <w:contextualSpacing/>
    </w:pPr>
  </w:style>
  <w:style w:type="character" w:styleId="Hyperlink">
    <w:name w:val="Hyperlink"/>
    <w:basedOn w:val="DefaultParagraphFont"/>
    <w:uiPriority w:val="99"/>
    <w:unhideWhenUsed/>
    <w:rsid w:val="00C618AC"/>
    <w:rPr>
      <w:color w:val="0563C1" w:themeColor="hyperlink"/>
      <w:u w:val="single"/>
    </w:rPr>
  </w:style>
  <w:style w:type="character" w:styleId="UnresolvedMention">
    <w:name w:val="Unresolved Mention"/>
    <w:basedOn w:val="DefaultParagraphFont"/>
    <w:uiPriority w:val="99"/>
    <w:semiHidden/>
    <w:unhideWhenUsed/>
    <w:rsid w:val="00C618AC"/>
    <w:rPr>
      <w:color w:val="808080"/>
      <w:shd w:val="clear" w:color="auto" w:fill="E6E6E6"/>
    </w:rPr>
  </w:style>
  <w:style w:type="character" w:styleId="FollowedHyperlink">
    <w:name w:val="FollowedHyperlink"/>
    <w:basedOn w:val="DefaultParagraphFont"/>
    <w:uiPriority w:val="99"/>
    <w:semiHidden/>
    <w:unhideWhenUsed/>
    <w:rsid w:val="00C618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fercornwall.co.uk/what-we-do/dasv-hu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Grigg</dc:creator>
  <cp:keywords/>
  <dc:description/>
  <cp:lastModifiedBy>Kelly Grigg</cp:lastModifiedBy>
  <cp:revision>4</cp:revision>
  <dcterms:created xsi:type="dcterms:W3CDTF">2018-05-29T13:18:00Z</dcterms:created>
  <dcterms:modified xsi:type="dcterms:W3CDTF">2019-05-03T14:06:00Z</dcterms:modified>
</cp:coreProperties>
</file>